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AC4A6" w14:textId="72D23F4C" w:rsidR="00E90E49" w:rsidRPr="00622AE0" w:rsidRDefault="00E90E49" w:rsidP="0056199F">
      <w:pPr>
        <w:pStyle w:val="3GPPHeader"/>
        <w:spacing w:after="0"/>
        <w:jc w:val="both"/>
        <w:rPr>
          <w:sz w:val="32"/>
          <w:szCs w:val="32"/>
          <w:highlight w:val="yellow"/>
        </w:rPr>
      </w:pPr>
      <w:r w:rsidRPr="00622AE0">
        <w:t>3GPP TSG-RAN WG</w:t>
      </w:r>
      <w:r w:rsidR="008F1C4E" w:rsidRPr="00622AE0">
        <w:t>1</w:t>
      </w:r>
      <w:r w:rsidRPr="00622AE0">
        <w:t xml:space="preserve"> </w:t>
      </w:r>
      <w:r w:rsidR="008F1C4E" w:rsidRPr="00622AE0">
        <w:t xml:space="preserve">Meeting </w:t>
      </w:r>
      <w:r w:rsidRPr="00622AE0">
        <w:t>#</w:t>
      </w:r>
      <w:r w:rsidR="00CC7601" w:rsidRPr="00622AE0">
        <w:t>103-e</w:t>
      </w:r>
      <w:r w:rsidRPr="00622AE0">
        <w:tab/>
      </w:r>
      <w:r w:rsidR="00091557" w:rsidRPr="00622AE0">
        <w:rPr>
          <w:sz w:val="32"/>
          <w:szCs w:val="32"/>
        </w:rPr>
        <w:t>R</w:t>
      </w:r>
      <w:r w:rsidR="008F1C4E" w:rsidRPr="00622AE0">
        <w:rPr>
          <w:sz w:val="32"/>
          <w:szCs w:val="32"/>
        </w:rPr>
        <w:t>1</w:t>
      </w:r>
      <w:r w:rsidR="00091557" w:rsidRPr="00622AE0">
        <w:rPr>
          <w:sz w:val="32"/>
          <w:szCs w:val="32"/>
        </w:rPr>
        <w:t>-</w:t>
      </w:r>
      <w:r w:rsidR="0065737A" w:rsidRPr="00622AE0">
        <w:rPr>
          <w:sz w:val="32"/>
          <w:szCs w:val="32"/>
        </w:rPr>
        <w:t>20</w:t>
      </w:r>
      <w:r w:rsidR="00842CD5" w:rsidRPr="00622AE0">
        <w:rPr>
          <w:sz w:val="32"/>
          <w:szCs w:val="32"/>
        </w:rPr>
        <w:t>09302</w:t>
      </w:r>
    </w:p>
    <w:p w14:paraId="1AC6BE1E" w14:textId="51B07AA9" w:rsidR="00E90E49" w:rsidRPr="00622AE0" w:rsidRDefault="004A612A" w:rsidP="0056199F">
      <w:pPr>
        <w:pStyle w:val="3GPPHeader"/>
        <w:jc w:val="both"/>
      </w:pPr>
      <w:proofErr w:type="spellStart"/>
      <w:r w:rsidRPr="00622AE0">
        <w:t>eMeeting</w:t>
      </w:r>
      <w:proofErr w:type="spellEnd"/>
      <w:r w:rsidR="0027144F" w:rsidRPr="00622AE0">
        <w:t xml:space="preserve">, </w:t>
      </w:r>
      <w:r w:rsidRPr="00622AE0">
        <w:t>October 26</w:t>
      </w:r>
      <w:r w:rsidR="001D53E7" w:rsidRPr="00622AE0">
        <w:rPr>
          <w:vertAlign w:val="superscript"/>
        </w:rPr>
        <w:t>th</w:t>
      </w:r>
      <w:r w:rsidR="001D53E7" w:rsidRPr="00622AE0">
        <w:t xml:space="preserve"> – </w:t>
      </w:r>
      <w:r w:rsidRPr="00622AE0">
        <w:t>November</w:t>
      </w:r>
      <w:r w:rsidR="00C37CB2" w:rsidRPr="00622AE0">
        <w:t xml:space="preserve"> </w:t>
      </w:r>
      <w:r w:rsidRPr="00622AE0">
        <w:t>13</w:t>
      </w:r>
      <w:r w:rsidRPr="00622AE0">
        <w:rPr>
          <w:vertAlign w:val="superscript"/>
        </w:rPr>
        <w:t>th</w:t>
      </w:r>
      <w:r w:rsidRPr="00622AE0">
        <w:t xml:space="preserve">, </w:t>
      </w:r>
      <w:r w:rsidR="0027144F" w:rsidRPr="00622AE0">
        <w:t>20</w:t>
      </w:r>
      <w:r w:rsidRPr="00622AE0">
        <w:t>20</w:t>
      </w:r>
    </w:p>
    <w:p w14:paraId="55784603" w14:textId="77777777" w:rsidR="00E90E49" w:rsidRPr="00622AE0" w:rsidRDefault="00E90E49" w:rsidP="0056199F">
      <w:pPr>
        <w:pStyle w:val="3GPPHeader"/>
        <w:jc w:val="both"/>
      </w:pPr>
    </w:p>
    <w:p w14:paraId="0222CC04" w14:textId="5B80EB3B" w:rsidR="00E90E49" w:rsidRPr="00622AE0" w:rsidRDefault="00E90E49" w:rsidP="0056199F">
      <w:pPr>
        <w:pStyle w:val="3GPPHeader"/>
        <w:jc w:val="both"/>
      </w:pPr>
      <w:r w:rsidRPr="00622AE0">
        <w:t>Agenda Item:</w:t>
      </w:r>
      <w:r w:rsidRPr="00622AE0">
        <w:tab/>
      </w:r>
      <w:r w:rsidR="00432C6C" w:rsidRPr="00622AE0">
        <w:t>8.10.2</w:t>
      </w:r>
    </w:p>
    <w:p w14:paraId="0BF970A6" w14:textId="77777777" w:rsidR="00E90E49" w:rsidRPr="00622AE0" w:rsidRDefault="003D3C45" w:rsidP="0056199F">
      <w:pPr>
        <w:pStyle w:val="3GPPHeader"/>
        <w:jc w:val="both"/>
      </w:pPr>
      <w:r w:rsidRPr="00622AE0">
        <w:t>Source:</w:t>
      </w:r>
      <w:r w:rsidR="00E90E49" w:rsidRPr="00622AE0">
        <w:tab/>
      </w:r>
      <w:r w:rsidR="00F64C2B" w:rsidRPr="00622AE0">
        <w:t>Ericsson</w:t>
      </w:r>
    </w:p>
    <w:p w14:paraId="7B6356D0" w14:textId="79CF5500" w:rsidR="00E90E49" w:rsidRPr="00622AE0" w:rsidRDefault="003D3C45" w:rsidP="0056199F">
      <w:pPr>
        <w:pStyle w:val="3GPPHeader"/>
        <w:jc w:val="both"/>
      </w:pPr>
      <w:r w:rsidRPr="00622AE0">
        <w:t>Title:</w:t>
      </w:r>
      <w:r w:rsidR="00E90E49" w:rsidRPr="00622AE0">
        <w:tab/>
      </w:r>
      <w:r w:rsidR="009708BF" w:rsidRPr="00622AE0">
        <w:t>T</w:t>
      </w:r>
      <w:r w:rsidR="0016655A" w:rsidRPr="00622AE0">
        <w:t xml:space="preserve">iming, CLI and power control in </w:t>
      </w:r>
      <w:r w:rsidR="009708BF" w:rsidRPr="00622AE0">
        <w:t xml:space="preserve">enhanced </w:t>
      </w:r>
      <w:r w:rsidR="0016655A" w:rsidRPr="00622AE0">
        <w:t>IAB</w:t>
      </w:r>
    </w:p>
    <w:p w14:paraId="2D065779" w14:textId="77777777" w:rsidR="00E90E49" w:rsidRPr="00622AE0" w:rsidRDefault="00E90E49" w:rsidP="0056199F">
      <w:pPr>
        <w:pStyle w:val="3GPPHeader"/>
        <w:jc w:val="both"/>
      </w:pPr>
      <w:r w:rsidRPr="00622AE0">
        <w:t>Document for:</w:t>
      </w:r>
      <w:r w:rsidRPr="00622AE0">
        <w:tab/>
        <w:t>Discussion, Decision</w:t>
      </w:r>
    </w:p>
    <w:p w14:paraId="6756997E" w14:textId="77777777" w:rsidR="00E90E49" w:rsidRPr="00622AE0" w:rsidRDefault="00E90E49" w:rsidP="0056199F">
      <w:pPr>
        <w:jc w:val="both"/>
      </w:pPr>
    </w:p>
    <w:p w14:paraId="004B5D21" w14:textId="77777777" w:rsidR="00E90E49" w:rsidRPr="00622AE0" w:rsidRDefault="00E90E49" w:rsidP="0056199F">
      <w:pPr>
        <w:pStyle w:val="Heading1"/>
        <w:jc w:val="both"/>
        <w:rPr>
          <w:lang w:val="en-US"/>
        </w:rPr>
      </w:pPr>
      <w:r w:rsidRPr="00622AE0">
        <w:rPr>
          <w:lang w:val="en-US"/>
        </w:rPr>
        <w:t>Introduction</w:t>
      </w:r>
    </w:p>
    <w:p w14:paraId="6640731C" w14:textId="21163BF9" w:rsidR="00477768" w:rsidRPr="00622AE0" w:rsidRDefault="00072736" w:rsidP="0056199F">
      <w:pPr>
        <w:pStyle w:val="BodyText"/>
        <w:jc w:val="both"/>
      </w:pPr>
      <w:r w:rsidRPr="00622AE0">
        <w:rPr>
          <w:rFonts w:cs="Arial"/>
        </w:rPr>
        <w:t xml:space="preserve">In RAN#88, the following objectives of the IAB work item regarding IAB duplexing enhancements were approved </w:t>
      </w:r>
      <w:r w:rsidRPr="00622AE0">
        <w:rPr>
          <w:rFonts w:cs="Arial"/>
        </w:rPr>
        <w:fldChar w:fldCharType="begin"/>
      </w:r>
      <w:r w:rsidRPr="00622AE0">
        <w:rPr>
          <w:rFonts w:cs="Arial"/>
        </w:rPr>
        <w:instrText xml:space="preserve"> REF _Ref47522354 \n \h </w:instrText>
      </w:r>
      <w:r w:rsidR="00600E12" w:rsidRPr="00622AE0">
        <w:rPr>
          <w:rFonts w:cs="Arial"/>
        </w:rPr>
        <w:instrText xml:space="preserve"> \* MERGEFORMAT </w:instrText>
      </w:r>
      <w:r w:rsidRPr="00622AE0">
        <w:rPr>
          <w:rFonts w:cs="Arial"/>
        </w:rPr>
      </w:r>
      <w:r w:rsidRPr="00622AE0">
        <w:rPr>
          <w:rFonts w:cs="Arial"/>
        </w:rPr>
        <w:fldChar w:fldCharType="separate"/>
      </w:r>
      <w:r w:rsidR="007E64BA">
        <w:rPr>
          <w:rFonts w:cs="Arial"/>
        </w:rPr>
        <w:t>[1]</w:t>
      </w:r>
      <w:r w:rsidRPr="00622AE0">
        <w:rPr>
          <w:rFonts w:cs="Arial"/>
        </w:rPr>
        <w:fldChar w:fldCharType="end"/>
      </w:r>
      <w:r w:rsidRPr="00622AE0">
        <w:rPr>
          <w:rFonts w:cs="Arial"/>
        </w:rPr>
        <w:t>:</w:t>
      </w:r>
    </w:p>
    <w:tbl>
      <w:tblPr>
        <w:tblStyle w:val="TableGrid"/>
        <w:tblW w:w="0" w:type="auto"/>
        <w:tblLook w:val="04A0" w:firstRow="1" w:lastRow="0" w:firstColumn="1" w:lastColumn="0" w:noHBand="0" w:noVBand="1"/>
      </w:tblPr>
      <w:tblGrid>
        <w:gridCol w:w="9629"/>
      </w:tblGrid>
      <w:tr w:rsidR="00432C6C" w:rsidRPr="00622AE0" w14:paraId="55F57966" w14:textId="77777777" w:rsidTr="0087441F">
        <w:tc>
          <w:tcPr>
            <w:tcW w:w="9629" w:type="dxa"/>
          </w:tcPr>
          <w:p w14:paraId="78233832" w14:textId="14FADCCF" w:rsidR="00432C6C" w:rsidRPr="00622AE0" w:rsidRDefault="00432C6C" w:rsidP="0056199F">
            <w:pPr>
              <w:pStyle w:val="ListParagraph"/>
              <w:numPr>
                <w:ilvl w:val="0"/>
                <w:numId w:val="25"/>
              </w:numPr>
              <w:spacing w:before="120" w:after="180"/>
              <w:contextualSpacing/>
              <w:jc w:val="both"/>
              <w:rPr>
                <w:lang w:val="en-US"/>
              </w:rPr>
            </w:pPr>
            <w:r w:rsidRPr="00622AE0">
              <w:rPr>
                <w:lang w:val="en-US"/>
              </w:rPr>
              <w:t>Specification of enhancements to the resource multiplexing between child and parent links of an IAB node, including:</w:t>
            </w:r>
          </w:p>
          <w:p w14:paraId="7A2FC62E" w14:textId="77777777" w:rsidR="00432C6C" w:rsidRPr="00622AE0" w:rsidRDefault="00432C6C" w:rsidP="0056199F">
            <w:pPr>
              <w:pStyle w:val="ListParagraph"/>
              <w:numPr>
                <w:ilvl w:val="1"/>
                <w:numId w:val="25"/>
              </w:numPr>
              <w:spacing w:before="120" w:after="180"/>
              <w:contextualSpacing/>
              <w:jc w:val="both"/>
              <w:rPr>
                <w:lang w:val="en-US"/>
              </w:rPr>
            </w:pPr>
            <w:r w:rsidRPr="00622AE0">
              <w:rPr>
                <w:lang w:val="en-US"/>
              </w:rPr>
              <w:t>Support of simultaneous operation (transmission and/or reception) of IAB-node’s child and parent links (i.e., MT Tx/DU Tx, MT Tx/DU Rx, MT Rx/DU Tx, MT Rx/DU Rx).</w:t>
            </w:r>
          </w:p>
          <w:p w14:paraId="15D2C1D5" w14:textId="77777777" w:rsidR="00432C6C" w:rsidRPr="00622AE0" w:rsidRDefault="00432C6C" w:rsidP="0056199F">
            <w:pPr>
              <w:pStyle w:val="ListParagraph"/>
              <w:numPr>
                <w:ilvl w:val="1"/>
                <w:numId w:val="25"/>
              </w:numPr>
              <w:spacing w:before="120" w:after="180"/>
              <w:contextualSpacing/>
              <w:jc w:val="both"/>
              <w:rPr>
                <w:lang w:val="en-US"/>
              </w:rPr>
            </w:pPr>
            <w:r w:rsidRPr="00622AE0">
              <w:rPr>
                <w:lang w:val="en-US"/>
              </w:rPr>
              <w:t>Support for dual-connectivity scenarios defined by RAN2/RAN3 in the context of topology redundancy for improved robustness and load balancing.</w:t>
            </w:r>
          </w:p>
          <w:p w14:paraId="5162CA3D" w14:textId="77777777" w:rsidR="00432C6C" w:rsidRPr="00622AE0" w:rsidRDefault="00432C6C" w:rsidP="0056199F">
            <w:pPr>
              <w:pStyle w:val="ListParagraph"/>
              <w:numPr>
                <w:ilvl w:val="0"/>
                <w:numId w:val="25"/>
              </w:numPr>
              <w:spacing w:before="120" w:after="180"/>
              <w:contextualSpacing/>
              <w:jc w:val="both"/>
              <w:rPr>
                <w:lang w:val="en-US"/>
              </w:rPr>
            </w:pPr>
            <w:r w:rsidRPr="00622AE0">
              <w:rPr>
                <w:lang w:val="en-US"/>
              </w:rPr>
              <w:t>Specification of IAB-node timing mode(s), extensions for DL/UL power control, and CLI and interference measurements of BH links, as needed, to support simultaneous operation (transmission and/or reception) by IAB-node’s child and parent links.</w:t>
            </w:r>
          </w:p>
        </w:tc>
      </w:tr>
    </w:tbl>
    <w:p w14:paraId="2377B859" w14:textId="4C22F3D9" w:rsidR="00432C6C" w:rsidRPr="00622AE0" w:rsidRDefault="00432C6C" w:rsidP="0056199F">
      <w:pPr>
        <w:pStyle w:val="BodyText"/>
        <w:jc w:val="both"/>
      </w:pPr>
    </w:p>
    <w:p w14:paraId="1CABC7EB" w14:textId="6E074FA7" w:rsidR="00432C6C" w:rsidRPr="00622AE0" w:rsidRDefault="00072736" w:rsidP="0056199F">
      <w:pPr>
        <w:pStyle w:val="BodyText"/>
        <w:jc w:val="both"/>
      </w:pPr>
      <w:r w:rsidRPr="00622AE0">
        <w:t>In RAN1#102e, the following agreements were made [2]:</w:t>
      </w:r>
    </w:p>
    <w:tbl>
      <w:tblPr>
        <w:tblStyle w:val="TableGrid"/>
        <w:tblW w:w="0" w:type="auto"/>
        <w:tblLook w:val="04A0" w:firstRow="1" w:lastRow="0" w:firstColumn="1" w:lastColumn="0" w:noHBand="0" w:noVBand="1"/>
      </w:tblPr>
      <w:tblGrid>
        <w:gridCol w:w="9629"/>
      </w:tblGrid>
      <w:tr w:rsidR="00432C6C" w:rsidRPr="00622AE0" w14:paraId="31AD3141" w14:textId="77777777" w:rsidTr="0087441F">
        <w:tc>
          <w:tcPr>
            <w:tcW w:w="9629" w:type="dxa"/>
          </w:tcPr>
          <w:p w14:paraId="502AC81B" w14:textId="77777777" w:rsidR="00432C6C" w:rsidRPr="00622AE0" w:rsidRDefault="00432C6C" w:rsidP="0056199F">
            <w:pPr>
              <w:jc w:val="both"/>
              <w:rPr>
                <w:b/>
                <w:szCs w:val="20"/>
              </w:rPr>
            </w:pPr>
            <w:r w:rsidRPr="00622AE0">
              <w:rPr>
                <w:b/>
                <w:szCs w:val="20"/>
                <w:highlight w:val="green"/>
              </w:rPr>
              <w:t>Agreement</w:t>
            </w:r>
          </w:p>
          <w:p w14:paraId="144B9179" w14:textId="77777777" w:rsidR="00432C6C" w:rsidRPr="00622AE0" w:rsidRDefault="00432C6C" w:rsidP="0056199F">
            <w:pPr>
              <w:numPr>
                <w:ilvl w:val="0"/>
                <w:numId w:val="26"/>
              </w:numPr>
              <w:jc w:val="both"/>
              <w:rPr>
                <w:szCs w:val="20"/>
              </w:rPr>
            </w:pPr>
            <w:r w:rsidRPr="00622AE0">
              <w:rPr>
                <w:szCs w:val="20"/>
              </w:rPr>
              <w:t>Case 7 timing is supported in Rel-17 for IAB-nodes operating in multiplexing scenario Case 2 (simultaneous MT-Rx/DU-Rx)</w:t>
            </w:r>
          </w:p>
          <w:p w14:paraId="32188462" w14:textId="77777777" w:rsidR="00432C6C" w:rsidRPr="00622AE0" w:rsidRDefault="00432C6C" w:rsidP="0056199F">
            <w:pPr>
              <w:numPr>
                <w:ilvl w:val="0"/>
                <w:numId w:val="27"/>
              </w:numPr>
              <w:jc w:val="both"/>
              <w:rPr>
                <w:szCs w:val="20"/>
              </w:rPr>
            </w:pPr>
            <w:r w:rsidRPr="00622AE0">
              <w:rPr>
                <w:szCs w:val="20"/>
              </w:rPr>
              <w:t>Case 6 timing is supported in Rel-17 for IAB-nodes operating in multiplexing scenario Case 1 (simultaneous MT-Tx/DU-Tx)</w:t>
            </w:r>
          </w:p>
          <w:p w14:paraId="719B6AA2" w14:textId="77777777" w:rsidR="00432C6C" w:rsidRPr="00622AE0" w:rsidRDefault="00432C6C" w:rsidP="0056199F">
            <w:pPr>
              <w:numPr>
                <w:ilvl w:val="1"/>
                <w:numId w:val="27"/>
              </w:numPr>
              <w:spacing w:before="120" w:after="180"/>
              <w:contextualSpacing/>
              <w:jc w:val="both"/>
            </w:pPr>
            <w:r w:rsidRPr="00622AE0">
              <w:rPr>
                <w:szCs w:val="20"/>
              </w:rPr>
              <w:t>RAN1 should strive to minimize specification impact due to this feature</w:t>
            </w:r>
          </w:p>
          <w:p w14:paraId="238B4A46" w14:textId="4903C29F" w:rsidR="00432C6C" w:rsidRPr="00622AE0" w:rsidRDefault="00432C6C" w:rsidP="0056199F">
            <w:pPr>
              <w:numPr>
                <w:ilvl w:val="0"/>
                <w:numId w:val="27"/>
              </w:numPr>
              <w:spacing w:before="120" w:after="180"/>
              <w:contextualSpacing/>
              <w:jc w:val="both"/>
            </w:pPr>
            <w:r w:rsidRPr="00622AE0">
              <w:rPr>
                <w:szCs w:val="20"/>
              </w:rPr>
              <w:t>FFS: Whether Case 7 timing is supported in Rel-17 for IAB-nodes operating in multiplexing scenario Case 4 (simultaneous MT-Tx/DU-Rx)</w:t>
            </w:r>
          </w:p>
        </w:tc>
      </w:tr>
    </w:tbl>
    <w:p w14:paraId="5F8D7A69" w14:textId="77777777" w:rsidR="00432C6C" w:rsidRPr="00622AE0" w:rsidRDefault="00432C6C" w:rsidP="0056199F">
      <w:pPr>
        <w:pStyle w:val="BodyText"/>
        <w:jc w:val="both"/>
      </w:pPr>
    </w:p>
    <w:p w14:paraId="307ED64B" w14:textId="69D5E704" w:rsidR="00072736" w:rsidRPr="00622AE0" w:rsidRDefault="00072736" w:rsidP="0056199F">
      <w:pPr>
        <w:pStyle w:val="BodyText"/>
        <w:jc w:val="both"/>
        <w:rPr>
          <w:rFonts w:cs="Arial"/>
        </w:rPr>
      </w:pPr>
      <w:r w:rsidRPr="00622AE0">
        <w:rPr>
          <w:rFonts w:cs="Arial"/>
        </w:rPr>
        <w:t>This contribution addresses Case-6 and Case-7 timing configurations required to allow simultaneous transmission on child and parent links using the same carrier frequencies and their challenges.</w:t>
      </w:r>
    </w:p>
    <w:p w14:paraId="1AD36879" w14:textId="174F2C3B" w:rsidR="00072736" w:rsidRPr="00622AE0" w:rsidRDefault="00202767" w:rsidP="0056199F">
      <w:pPr>
        <w:pStyle w:val="BodyText"/>
        <w:jc w:val="both"/>
        <w:rPr>
          <w:rFonts w:cs="Arial"/>
        </w:rPr>
      </w:pPr>
      <w:r w:rsidRPr="00622AE0">
        <w:lastRenderedPageBreak/>
        <w:t>We also study different interference types that operation of IAB-nodes can cause to other RAN nodes, depending on whether transmissions take place in UL or DL slots</w:t>
      </w:r>
      <w:r w:rsidR="009E2B8B" w:rsidRPr="00622AE0">
        <w:t xml:space="preserve"> and discuss power control for IAB-MTs and IAB-DUs</w:t>
      </w:r>
      <w:r w:rsidRPr="00622AE0">
        <w:t>.</w:t>
      </w:r>
    </w:p>
    <w:p w14:paraId="39368B18" w14:textId="39181C14" w:rsidR="003B53BE" w:rsidRPr="00622AE0" w:rsidRDefault="0016655A" w:rsidP="0056199F">
      <w:pPr>
        <w:pStyle w:val="Heading1"/>
        <w:jc w:val="both"/>
        <w:rPr>
          <w:lang w:val="en-US"/>
        </w:rPr>
      </w:pPr>
      <w:r w:rsidRPr="00622AE0">
        <w:rPr>
          <w:lang w:val="en-US"/>
        </w:rPr>
        <w:t>Timing</w:t>
      </w:r>
    </w:p>
    <w:p w14:paraId="4918064D" w14:textId="2954A754" w:rsidR="00DC152B" w:rsidRPr="00622AE0" w:rsidRDefault="00DC152B" w:rsidP="0056199F">
      <w:pPr>
        <w:jc w:val="both"/>
      </w:pPr>
      <w:r w:rsidRPr="00622AE0">
        <w:t xml:space="preserve">In Rel-16, a method was specified to enable Case-1 timing aligned DL transmission operation </w:t>
      </w:r>
      <w:r w:rsidR="00071F5A" w:rsidRPr="00622AE0">
        <w:t>[</w:t>
      </w:r>
      <w:r w:rsidR="00AC35FE" w:rsidRPr="00622AE0">
        <w:t>3</w:t>
      </w:r>
      <w:r w:rsidR="00071F5A" w:rsidRPr="00622AE0">
        <w:t>][</w:t>
      </w:r>
      <w:r w:rsidR="00AC35FE" w:rsidRPr="00622AE0">
        <w:t>4</w:t>
      </w:r>
      <w:r w:rsidR="00071F5A" w:rsidRPr="00622AE0">
        <w:t>]</w:t>
      </w:r>
      <w:r w:rsidRPr="00622AE0">
        <w:t>.</w:t>
      </w:r>
    </w:p>
    <w:p w14:paraId="08CA9E1B" w14:textId="77777777" w:rsidR="00746B34" w:rsidRDefault="00DC152B" w:rsidP="0056199F">
      <w:pPr>
        <w:pStyle w:val="BodyText"/>
        <w:jc w:val="both"/>
      </w:pPr>
      <w:r w:rsidRPr="00622AE0">
        <w:t xml:space="preserve">In order to enable simultaneous transmission on child and parent links, i.e. transmission in upstream and downstream (to avoid the terminology of UL and DL), respectively, these two transmissions should preferably also be time aligned. A similar argument can be made for the case of simultaneous reception on child and parent links. Such additional timing coordination, i.e., in addition to the Case-1 timing aligned operation, can be enabled by IAB Rel-17 supporting the timing configurations known as Case-6 and Case-7, for simultaneous transmission and reception, respectively </w:t>
      </w:r>
      <w:r w:rsidR="00071F5A" w:rsidRPr="00622AE0">
        <w:t>[</w:t>
      </w:r>
      <w:r w:rsidR="00AC35FE" w:rsidRPr="00622AE0">
        <w:t>4</w:t>
      </w:r>
      <w:r w:rsidR="00071F5A" w:rsidRPr="00622AE0">
        <w:t>]</w:t>
      </w:r>
      <w:r w:rsidRPr="00622AE0">
        <w:t>.</w:t>
      </w:r>
      <w:r w:rsidR="00360D62" w:rsidRPr="00622AE0">
        <w:t xml:space="preserve"> In fact, </w:t>
      </w:r>
      <w:r w:rsidR="001908DF" w:rsidRPr="00622AE0">
        <w:t>is has been</w:t>
      </w:r>
      <w:r w:rsidR="00360D62" w:rsidRPr="00622AE0">
        <w:t xml:space="preserve"> agreed </w:t>
      </w:r>
      <w:r w:rsidR="001908DF" w:rsidRPr="00622AE0">
        <w:t>to support both</w:t>
      </w:r>
      <w:r w:rsidR="009E2B8B" w:rsidRPr="00622AE0">
        <w:t xml:space="preserve"> timing configurations</w:t>
      </w:r>
      <w:r w:rsidR="00360D62" w:rsidRPr="00622AE0">
        <w:t xml:space="preserve"> [2].</w:t>
      </w:r>
    </w:p>
    <w:p w14:paraId="629D0335" w14:textId="2E1F7B51" w:rsidR="00DC152B" w:rsidRPr="00622AE0" w:rsidRDefault="005C4084" w:rsidP="0056199F">
      <w:pPr>
        <w:pStyle w:val="BodyText"/>
        <w:jc w:val="both"/>
      </w:pPr>
      <w:r w:rsidRPr="00622AE0">
        <w:t xml:space="preserve">Figure 1 </w:t>
      </w:r>
      <w:r w:rsidR="00DC152B" w:rsidRPr="00622AE0">
        <w:t>shows the transmit and receive timing for Case-6 (left) and Case-7 (right) timing configuration, respectively, for a simple IAB network consisting of a donor/parent node (P), an IAB-node (N), a child node (C) with a Rel-15 UE (UE) connected to the IAB-node N. The propagation delay between parent node P and IAB-node N is denoted as T_PN, the delay between the IAB-node N and the child node C is denoted as T_NC, and the access link delay is denoted as T_UE.</w:t>
      </w:r>
    </w:p>
    <w:p w14:paraId="2223CC02" w14:textId="77777777" w:rsidR="00DC152B" w:rsidRPr="00622AE0" w:rsidRDefault="00DC152B" w:rsidP="0056199F">
      <w:pPr>
        <w:keepNext/>
        <w:jc w:val="both"/>
      </w:pPr>
    </w:p>
    <w:p w14:paraId="5256220C" w14:textId="77777777" w:rsidR="00DC152B" w:rsidRPr="00622AE0" w:rsidRDefault="00DC152B" w:rsidP="0056199F">
      <w:pPr>
        <w:keepNext/>
        <w:jc w:val="both"/>
      </w:pPr>
      <w:r w:rsidRPr="00622AE0">
        <w:rPr>
          <w:noProof/>
        </w:rPr>
        <w:drawing>
          <wp:inline distT="0" distB="0" distL="0" distR="0" wp14:anchorId="3683592D" wp14:editId="6800D86E">
            <wp:extent cx="6120765" cy="334200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342005"/>
                    </a:xfrm>
                    <a:prstGeom prst="rect">
                      <a:avLst/>
                    </a:prstGeom>
                  </pic:spPr>
                </pic:pic>
              </a:graphicData>
            </a:graphic>
          </wp:inline>
        </w:drawing>
      </w:r>
    </w:p>
    <w:p w14:paraId="33EA807F" w14:textId="05DBCE67" w:rsidR="00DC152B" w:rsidRPr="00622AE0" w:rsidRDefault="00DC152B" w:rsidP="0056199F">
      <w:pPr>
        <w:pStyle w:val="Caption"/>
        <w:jc w:val="both"/>
      </w:pPr>
      <w:bookmarkStart w:id="0" w:name="_Ref47358362"/>
      <w:r w:rsidRPr="00622AE0">
        <w:t xml:space="preserve">Figure </w:t>
      </w:r>
      <w:r w:rsidRPr="00622AE0">
        <w:fldChar w:fldCharType="begin"/>
      </w:r>
      <w:r w:rsidRPr="00622AE0">
        <w:instrText xml:space="preserve"> SEQ Figure \* ARABIC </w:instrText>
      </w:r>
      <w:r w:rsidRPr="00622AE0">
        <w:fldChar w:fldCharType="separate"/>
      </w:r>
      <w:r w:rsidR="007E64BA">
        <w:rPr>
          <w:noProof/>
        </w:rPr>
        <w:t>1</w:t>
      </w:r>
      <w:r w:rsidRPr="00622AE0">
        <w:fldChar w:fldCharType="end"/>
      </w:r>
      <w:bookmarkEnd w:id="0"/>
      <w:r w:rsidRPr="00622AE0">
        <w:t>: Transmit and receive timing for Case-6 (left, DL and UL Tx timing aligned) and Case-7 (right, DL and UL Rx timing aligned) timing configurations. The propagation delays are chosen specifically for each case to illustrate critical aspects.</w:t>
      </w:r>
    </w:p>
    <w:p w14:paraId="00F61FAA" w14:textId="057E2C34" w:rsidR="00DC152B" w:rsidRPr="00622AE0" w:rsidRDefault="00DC152B" w:rsidP="0056199F">
      <w:pPr>
        <w:jc w:val="both"/>
      </w:pPr>
      <w:r w:rsidRPr="00622AE0">
        <w:t xml:space="preserve">As can be seen in </w:t>
      </w:r>
      <w:r w:rsidR="005C4084" w:rsidRPr="00622AE0">
        <w:t>Figure 1</w:t>
      </w:r>
      <w:r w:rsidRPr="00622AE0">
        <w:t xml:space="preserve">, for Case-6, the UL </w:t>
      </w:r>
      <w:r w:rsidR="006E7B65" w:rsidRPr="00622AE0">
        <w:t>Tx</w:t>
      </w:r>
      <w:r w:rsidRPr="00622AE0">
        <w:t xml:space="preserve"> timing is set to be aligned with the DL Tx timing; for Case-7, the UL </w:t>
      </w:r>
      <w:r w:rsidR="006E7B65" w:rsidRPr="00622AE0">
        <w:t>Rx</w:t>
      </w:r>
      <w:r w:rsidRPr="00622AE0">
        <w:t xml:space="preserve"> timing is set to be aligned with the DL Rx timing.</w:t>
      </w:r>
    </w:p>
    <w:p w14:paraId="199AE405" w14:textId="59C71815" w:rsidR="00643792" w:rsidRPr="00622AE0" w:rsidRDefault="00DC152B" w:rsidP="0056199F">
      <w:pPr>
        <w:jc w:val="both"/>
      </w:pPr>
      <w:r w:rsidRPr="00622AE0">
        <w:lastRenderedPageBreak/>
        <w:t xml:space="preserve">It is observed from </w:t>
      </w:r>
      <w:r w:rsidR="005C4084" w:rsidRPr="00622AE0">
        <w:t>Figure 1</w:t>
      </w:r>
      <w:r w:rsidRPr="00622AE0">
        <w:t xml:space="preserve"> that for Case-6, the UL reception timing of an IAB-node is delayed due to the propagation delay on the child backhaul link (T_NC). For Case-7, the UL reception timing of an IAB-node is delayed due to the propagation delay on the parent backhaul link (T_PN).</w:t>
      </w:r>
    </w:p>
    <w:p w14:paraId="662A58D3" w14:textId="6F702507" w:rsidR="00643792" w:rsidRPr="00622AE0" w:rsidRDefault="00643792" w:rsidP="0056199F">
      <w:pPr>
        <w:pStyle w:val="Observation"/>
        <w:ind w:left="1701" w:hanging="1701"/>
        <w:jc w:val="both"/>
      </w:pPr>
      <w:bookmarkStart w:id="1" w:name="_Toc47734507"/>
      <w:bookmarkStart w:id="2" w:name="_Toc54383639"/>
      <w:r w:rsidRPr="00622AE0">
        <w:t>For Case-6, the UL reception of an IAB-node is delayed due to the propagation delay of the child backhaul link</w:t>
      </w:r>
      <w:r w:rsidR="001E3C4B" w:rsidRPr="00622AE0">
        <w:t xml:space="preserve"> and</w:t>
      </w:r>
      <w:r w:rsidR="00A908E7" w:rsidRPr="00622AE0">
        <w:br/>
      </w:r>
      <w:r w:rsidR="003022C8" w:rsidRPr="00622AE0">
        <w:t>f</w:t>
      </w:r>
      <w:r w:rsidRPr="00622AE0">
        <w:t>or Case-7, the UL reception of an IAB-node is delayed due to the propagation delay of the parent backhaul link.</w:t>
      </w:r>
      <w:bookmarkEnd w:id="1"/>
      <w:bookmarkEnd w:id="2"/>
    </w:p>
    <w:p w14:paraId="142D2D37" w14:textId="77777777" w:rsidR="000A784D" w:rsidRPr="00622AE0" w:rsidRDefault="005C4084" w:rsidP="0056199F">
      <w:pPr>
        <w:jc w:val="both"/>
      </w:pPr>
      <w:r w:rsidRPr="00622AE0">
        <w:t>Figure 1</w:t>
      </w:r>
      <w:r w:rsidR="00DC152B" w:rsidRPr="00622AE0">
        <w:t xml:space="preserve"> furthermore presents that for Case-7, a child node may have a negative timing advance (TA), if the propagation delay on a parent link (T_PN) is more than twice the propagation delay on a child link (T_NC), i.e., if T_PN &gt; 2*T_NC. That </w:t>
      </w:r>
      <w:r w:rsidR="000A784D" w:rsidRPr="00622AE0">
        <w:t xml:space="preserve">relation </w:t>
      </w:r>
      <w:r w:rsidR="00DC152B" w:rsidRPr="00622AE0">
        <w:t xml:space="preserve">was already </w:t>
      </w:r>
      <w:r w:rsidR="000A784D" w:rsidRPr="00622AE0">
        <w:t>identified</w:t>
      </w:r>
      <w:r w:rsidR="00DC152B" w:rsidRPr="00622AE0">
        <w:t xml:space="preserve"> during the IAB Study Item phase.</w:t>
      </w:r>
    </w:p>
    <w:p w14:paraId="1A63EFCE" w14:textId="69EF1608" w:rsidR="00DC152B" w:rsidRPr="00622AE0" w:rsidRDefault="00DC152B" w:rsidP="0056199F">
      <w:pPr>
        <w:jc w:val="both"/>
      </w:pPr>
      <w:r w:rsidRPr="00622AE0">
        <w:t>The conditions whe</w:t>
      </w:r>
      <w:r w:rsidR="00360D62" w:rsidRPr="00622AE0">
        <w:t>n</w:t>
      </w:r>
      <w:r w:rsidRPr="00622AE0">
        <w:t xml:space="preserve"> a UE will have a negative TA are as follows:</w:t>
      </w:r>
    </w:p>
    <w:p w14:paraId="06F377BF" w14:textId="77777777" w:rsidR="00DC152B" w:rsidRPr="00622AE0" w:rsidRDefault="00DC152B" w:rsidP="0056199F">
      <w:pPr>
        <w:ind w:left="1692" w:hanging="1125"/>
        <w:jc w:val="both"/>
      </w:pPr>
      <w:r w:rsidRPr="00622AE0">
        <w:rPr>
          <w:b/>
        </w:rPr>
        <w:t>Case-6:</w:t>
      </w:r>
      <w:r w:rsidRPr="00622AE0">
        <w:rPr>
          <w:b/>
        </w:rPr>
        <w:tab/>
      </w:r>
      <w:r w:rsidRPr="00622AE0">
        <w:t>The child link has twice the propagation delay of the UE access link (T_NC &gt; 2*T_UE), which is likely, if a UE is somehow in between the IAB-node and child node but connected to the IAB-node cell.</w:t>
      </w:r>
    </w:p>
    <w:p w14:paraId="4AF4C9F5" w14:textId="224E0026" w:rsidR="00D648AF" w:rsidRDefault="00DC152B" w:rsidP="0056199F">
      <w:pPr>
        <w:ind w:left="1692" w:hanging="1125"/>
        <w:jc w:val="both"/>
      </w:pPr>
      <w:r w:rsidRPr="00622AE0">
        <w:rPr>
          <w:b/>
        </w:rPr>
        <w:t>Case-7:</w:t>
      </w:r>
      <w:r w:rsidRPr="00622AE0">
        <w:tab/>
        <w:t>The parent link has twice the propagation delay of the UE access link (T_PN &gt; 2*T_UE).</w:t>
      </w:r>
    </w:p>
    <w:p w14:paraId="25686B6D" w14:textId="77777777" w:rsidR="00746B34" w:rsidRPr="00622AE0" w:rsidRDefault="00746B34" w:rsidP="0056199F">
      <w:pPr>
        <w:ind w:left="1692" w:hanging="1125"/>
        <w:jc w:val="both"/>
      </w:pPr>
    </w:p>
    <w:p w14:paraId="2BF48AC1" w14:textId="32D79E5A" w:rsidR="00D648AF" w:rsidRPr="00622AE0" w:rsidRDefault="001E3C4B" w:rsidP="0056199F">
      <w:pPr>
        <w:pStyle w:val="Observation"/>
        <w:ind w:left="1701" w:hanging="1701"/>
        <w:jc w:val="both"/>
      </w:pPr>
      <w:bookmarkStart w:id="3" w:name="_Toc54383640"/>
      <w:r w:rsidRPr="00622AE0">
        <w:t xml:space="preserve">For both Case-6 and Case-7, a Rel-15 UE can have a negative timing </w:t>
      </w:r>
      <w:r w:rsidR="0043723D" w:rsidRPr="00622AE0">
        <w:t>advance for certain link conditions.</w:t>
      </w:r>
      <w:bookmarkEnd w:id="3"/>
    </w:p>
    <w:p w14:paraId="02869FE6" w14:textId="215D07B9" w:rsidR="00D648AF" w:rsidRPr="00622AE0" w:rsidRDefault="00DC152B" w:rsidP="0056199F">
      <w:pPr>
        <w:jc w:val="both"/>
      </w:pPr>
      <w:r w:rsidRPr="00622AE0">
        <w:t>As a result of the above, involving Rel-15 UEs during simultaneous transmission or reception on the IAB backhaul will be complicated. In principle, NR (contrary to LTE) does not have a (minimum) limitation on the TA and, effectively, a negative TA can be achieved by successively reducing the TA, starting from a positive value. However, this is not true for a Rel-15 UE during RA, when the UE (</w:t>
      </w:r>
      <w:proofErr w:type="gramStart"/>
      <w:r w:rsidRPr="00622AE0">
        <w:t>and also</w:t>
      </w:r>
      <w:proofErr w:type="gramEnd"/>
      <w:r w:rsidRPr="00622AE0">
        <w:t xml:space="preserve"> MT) always starts with a </w:t>
      </w:r>
      <w:r w:rsidR="00DC078F" w:rsidRPr="00622AE0">
        <w:t xml:space="preserve">non-negative </w:t>
      </w:r>
      <w:r w:rsidRPr="00622AE0">
        <w:t>TA for the preamble transmission and subsequently TA is updated with a non-negative value in RAR.</w:t>
      </w:r>
      <w:r w:rsidR="00DC078F" w:rsidRPr="00622AE0">
        <w:t xml:space="preserve"> </w:t>
      </w:r>
      <w:proofErr w:type="gramStart"/>
      <w:r w:rsidR="00DC078F" w:rsidRPr="00622AE0">
        <w:t>As a consequence</w:t>
      </w:r>
      <w:proofErr w:type="gramEnd"/>
      <w:r w:rsidR="00DC078F" w:rsidRPr="00622AE0">
        <w:t>, Rel-15</w:t>
      </w:r>
      <w:r w:rsidR="00EB62E5" w:rsidRPr="00622AE0">
        <w:t xml:space="preserve"> (and Rel-</w:t>
      </w:r>
      <w:r w:rsidR="005450D3" w:rsidRPr="00622AE0">
        <w:t>16</w:t>
      </w:r>
      <w:r w:rsidR="00EB62E5" w:rsidRPr="00622AE0">
        <w:t>)</w:t>
      </w:r>
      <w:r w:rsidR="00DC078F" w:rsidRPr="00622AE0">
        <w:t xml:space="preserve"> UEs </w:t>
      </w:r>
      <w:r w:rsidR="006F2D3C" w:rsidRPr="00622AE0">
        <w:t>may</w:t>
      </w:r>
      <w:r w:rsidR="00DC078F" w:rsidRPr="00622AE0">
        <w:t xml:space="preserve"> not be able to complete RA to </w:t>
      </w:r>
      <w:r w:rsidR="006F2D3C" w:rsidRPr="00622AE0">
        <w:t xml:space="preserve">an </w:t>
      </w:r>
      <w:r w:rsidR="00DC078F" w:rsidRPr="00622AE0">
        <w:t xml:space="preserve">IAB-node operating </w:t>
      </w:r>
      <w:r w:rsidR="00EB62E5" w:rsidRPr="00622AE0">
        <w:t>in</w:t>
      </w:r>
      <w:r w:rsidR="00DC078F" w:rsidRPr="00622AE0">
        <w:t xml:space="preserve"> a C</w:t>
      </w:r>
      <w:r w:rsidR="005450D3" w:rsidRPr="00622AE0">
        <w:t>ase</w:t>
      </w:r>
      <w:r w:rsidR="00DC078F" w:rsidRPr="00622AE0">
        <w:t>-6 or Case-7 timing configuration on access links.</w:t>
      </w:r>
    </w:p>
    <w:p w14:paraId="5F580CD6" w14:textId="3EC9E234" w:rsidR="00D648AF" w:rsidRPr="00622AE0" w:rsidRDefault="00A908E7" w:rsidP="0056199F">
      <w:pPr>
        <w:pStyle w:val="Observation"/>
        <w:ind w:left="1701" w:hanging="1701"/>
        <w:jc w:val="both"/>
      </w:pPr>
      <w:bookmarkStart w:id="4" w:name="_Toc54383641"/>
      <w:r w:rsidRPr="00622AE0">
        <w:t>A UE connected to an IAB-node that operates with timing aligned transmission or reception, may require a negative TA</w:t>
      </w:r>
      <w:r w:rsidR="00D648AF" w:rsidRPr="00622AE0">
        <w:t>.</w:t>
      </w:r>
      <w:bookmarkEnd w:id="4"/>
    </w:p>
    <w:p w14:paraId="4FF15C56" w14:textId="416FD9B7" w:rsidR="00D648AF" w:rsidRPr="00622AE0" w:rsidRDefault="00A908E7" w:rsidP="0056199F">
      <w:pPr>
        <w:pStyle w:val="Observation"/>
        <w:ind w:left="1701" w:hanging="1701"/>
        <w:jc w:val="both"/>
      </w:pPr>
      <w:r w:rsidRPr="00622AE0">
        <w:tab/>
      </w:r>
      <w:bookmarkStart w:id="5" w:name="_Toc54383642"/>
      <w:r w:rsidRPr="00622AE0">
        <w:t xml:space="preserve">NR does not support </w:t>
      </w:r>
      <w:r w:rsidR="00DC078F" w:rsidRPr="00622AE0">
        <w:t>Rel-15</w:t>
      </w:r>
      <w:r w:rsidR="005450D3" w:rsidRPr="00622AE0">
        <w:t>/16</w:t>
      </w:r>
      <w:r w:rsidR="00DC078F" w:rsidRPr="00622AE0">
        <w:t xml:space="preserve"> </w:t>
      </w:r>
      <w:r w:rsidRPr="00622AE0">
        <w:t>UE</w:t>
      </w:r>
      <w:r w:rsidR="00202767" w:rsidRPr="00622AE0">
        <w:t>s</w:t>
      </w:r>
      <w:r w:rsidRPr="00622AE0">
        <w:t>, connecting to an IAB-node operating with timing aligned transmission or reception, ha</w:t>
      </w:r>
      <w:r w:rsidR="00202767" w:rsidRPr="00622AE0">
        <w:t>ving</w:t>
      </w:r>
      <w:r w:rsidRPr="00622AE0">
        <w:t xml:space="preserve"> a negative TA already during the RA phase</w:t>
      </w:r>
      <w:r w:rsidR="00D648AF" w:rsidRPr="00622AE0">
        <w:t>.</w:t>
      </w:r>
      <w:r w:rsidR="00EB62E5" w:rsidRPr="00622AE0">
        <w:t xml:space="preserve"> And </w:t>
      </w:r>
      <w:proofErr w:type="gramStart"/>
      <w:r w:rsidR="00EB62E5" w:rsidRPr="00622AE0">
        <w:t>as a consequence</w:t>
      </w:r>
      <w:proofErr w:type="gramEnd"/>
      <w:r w:rsidR="00EB62E5" w:rsidRPr="00622AE0">
        <w:t>, such UEs might not be able to complete RA to IAB-node operating in a Case-6 or Case-7 timing configuration on access links</w:t>
      </w:r>
      <w:r w:rsidR="00D648AF" w:rsidRPr="00622AE0">
        <w:t>.</w:t>
      </w:r>
      <w:bookmarkEnd w:id="5"/>
    </w:p>
    <w:p w14:paraId="3204CF51" w14:textId="7F9F2B81" w:rsidR="00DC152B" w:rsidRPr="00622AE0" w:rsidRDefault="007B2948" w:rsidP="0056199F">
      <w:pPr>
        <w:jc w:val="both"/>
      </w:pPr>
      <w:r w:rsidRPr="00622AE0">
        <w:t xml:space="preserve">The fact that </w:t>
      </w:r>
      <w:r w:rsidR="00DC152B" w:rsidRPr="00622AE0">
        <w:t>a UE with a negative initial TA may not be able to perform/complete RA</w:t>
      </w:r>
      <w:r w:rsidRPr="00622AE0">
        <w:t xml:space="preserve"> leads us to the conclusion that </w:t>
      </w:r>
      <w:r w:rsidR="00DC152B" w:rsidRPr="00622AE0">
        <w:t>simultaneous transmission or reception must be limited to only involve backhaul links.</w:t>
      </w:r>
    </w:p>
    <w:p w14:paraId="7D923775" w14:textId="12C2C823" w:rsidR="00DC152B" w:rsidRPr="00622AE0" w:rsidRDefault="00DC152B" w:rsidP="0056199F">
      <w:pPr>
        <w:pStyle w:val="Proposal"/>
        <w:jc w:val="both"/>
      </w:pPr>
      <w:bookmarkStart w:id="6" w:name="_Toc47734523"/>
      <w:bookmarkStart w:id="7" w:name="_Toc54383649"/>
      <w:r w:rsidRPr="00622AE0">
        <w:t xml:space="preserve">Specification on simultaneous transmission or reception is limited to only consider </w:t>
      </w:r>
      <w:r w:rsidR="00C66727" w:rsidRPr="00622AE0">
        <w:t xml:space="preserve">operation on </w:t>
      </w:r>
      <w:r w:rsidRPr="00622AE0">
        <w:t>backhaul link</w:t>
      </w:r>
      <w:r w:rsidR="0043723D" w:rsidRPr="00622AE0">
        <w:t>s</w:t>
      </w:r>
      <w:r w:rsidRPr="00622AE0">
        <w:t>.</w:t>
      </w:r>
      <w:bookmarkEnd w:id="6"/>
      <w:bookmarkEnd w:id="7"/>
    </w:p>
    <w:p w14:paraId="53A14E9F" w14:textId="7CCB0FC8" w:rsidR="00DC152B" w:rsidRPr="00622AE0" w:rsidRDefault="00DC152B" w:rsidP="0056199F">
      <w:pPr>
        <w:jc w:val="both"/>
      </w:pPr>
      <w:r w:rsidRPr="00622AE0">
        <w:t xml:space="preserve">RAN4 has investigated, though for the sake of interference and deployment requirements, two scenarios of upstream/downstream transmission configurations </w:t>
      </w:r>
      <w:r w:rsidR="007819F0" w:rsidRPr="00622AE0">
        <w:t>[</w:t>
      </w:r>
      <w:r w:rsidR="00AC35FE" w:rsidRPr="00622AE0">
        <w:t>5</w:t>
      </w:r>
      <w:r w:rsidR="007819F0" w:rsidRPr="00622AE0">
        <w:t>]</w:t>
      </w:r>
      <w:r w:rsidRPr="00622AE0">
        <w:t>.</w:t>
      </w:r>
      <w:r w:rsidR="008A6E9B" w:rsidRPr="00622AE0">
        <w:t xml:space="preserve"> </w:t>
      </w:r>
      <w:r w:rsidRPr="00622AE0">
        <w:t xml:space="preserve">Scenario 1 is </w:t>
      </w:r>
      <w:r w:rsidR="00991E1A" w:rsidRPr="00622AE0">
        <w:t>summarized</w:t>
      </w:r>
      <w:r w:rsidRPr="00622AE0">
        <w:t xml:space="preserve"> as</w:t>
      </w:r>
    </w:p>
    <w:p w14:paraId="6E520193" w14:textId="77777777" w:rsidR="00DC152B" w:rsidRPr="00622AE0" w:rsidRDefault="00DC152B" w:rsidP="0056199F">
      <w:pPr>
        <w:pStyle w:val="ListParagraph"/>
        <w:numPr>
          <w:ilvl w:val="0"/>
          <w:numId w:val="29"/>
        </w:numPr>
        <w:contextualSpacing/>
        <w:jc w:val="both"/>
        <w:rPr>
          <w:lang w:val="en-US"/>
        </w:rPr>
      </w:pPr>
      <w:r w:rsidRPr="00622AE0">
        <w:rPr>
          <w:lang w:val="en-US"/>
        </w:rPr>
        <w:t>IAB-MT using the UL parts of the TDD pattern for IAB transmission</w:t>
      </w:r>
    </w:p>
    <w:p w14:paraId="5B13601C" w14:textId="77777777" w:rsidR="00DC152B" w:rsidRPr="00622AE0" w:rsidRDefault="00DC152B" w:rsidP="0056199F">
      <w:pPr>
        <w:pStyle w:val="ListParagraph"/>
        <w:numPr>
          <w:ilvl w:val="0"/>
          <w:numId w:val="29"/>
        </w:numPr>
        <w:contextualSpacing/>
        <w:jc w:val="both"/>
        <w:rPr>
          <w:lang w:val="en-US"/>
        </w:rPr>
      </w:pPr>
      <w:r w:rsidRPr="00622AE0">
        <w:rPr>
          <w:lang w:val="en-US"/>
        </w:rPr>
        <w:t>IAB-MT using the DL parts of the TDD pattern for IAB reception</w:t>
      </w:r>
    </w:p>
    <w:p w14:paraId="115AE7D1" w14:textId="77777777" w:rsidR="00DC152B" w:rsidRPr="00622AE0" w:rsidRDefault="00DC152B" w:rsidP="0056199F">
      <w:pPr>
        <w:pStyle w:val="ListParagraph"/>
        <w:numPr>
          <w:ilvl w:val="0"/>
          <w:numId w:val="29"/>
        </w:numPr>
        <w:contextualSpacing/>
        <w:jc w:val="both"/>
        <w:rPr>
          <w:lang w:val="en-US"/>
        </w:rPr>
      </w:pPr>
      <w:r w:rsidRPr="00622AE0">
        <w:rPr>
          <w:lang w:val="en-US"/>
        </w:rPr>
        <w:t>IAB Parent using the DL parts of the TDD pattern for IAB transmission</w:t>
      </w:r>
    </w:p>
    <w:p w14:paraId="472A2E2B" w14:textId="75E420BB" w:rsidR="00071F5A" w:rsidRPr="00622AE0" w:rsidRDefault="00DC152B" w:rsidP="0056199F">
      <w:pPr>
        <w:pStyle w:val="ListParagraph"/>
        <w:numPr>
          <w:ilvl w:val="0"/>
          <w:numId w:val="29"/>
        </w:numPr>
        <w:contextualSpacing/>
        <w:jc w:val="both"/>
        <w:rPr>
          <w:lang w:val="en-US"/>
        </w:rPr>
      </w:pPr>
      <w:r w:rsidRPr="00622AE0">
        <w:rPr>
          <w:lang w:val="en-US"/>
        </w:rPr>
        <w:t>IAB Parent using the UL parts of the TDD pattern for IAB reception</w:t>
      </w:r>
    </w:p>
    <w:p w14:paraId="1C4BE85B" w14:textId="77777777" w:rsidR="00DC152B" w:rsidRPr="00622AE0" w:rsidRDefault="00DC152B" w:rsidP="0056199F">
      <w:pPr>
        <w:jc w:val="both"/>
      </w:pPr>
      <w:r w:rsidRPr="00622AE0">
        <w:lastRenderedPageBreak/>
        <w:t>Correspondingly, Scenario 2 is summarized as</w:t>
      </w:r>
    </w:p>
    <w:p w14:paraId="271DA44E" w14:textId="77777777" w:rsidR="00DC152B" w:rsidRPr="00622AE0" w:rsidRDefault="00DC152B" w:rsidP="0056199F">
      <w:pPr>
        <w:pStyle w:val="ListParagraph"/>
        <w:numPr>
          <w:ilvl w:val="0"/>
          <w:numId w:val="30"/>
        </w:numPr>
        <w:contextualSpacing/>
        <w:jc w:val="both"/>
        <w:rPr>
          <w:lang w:val="en-US"/>
        </w:rPr>
      </w:pPr>
      <w:r w:rsidRPr="00622AE0">
        <w:rPr>
          <w:lang w:val="en-US"/>
        </w:rPr>
        <w:t>IAB-MT using the DL parts of the TDD pattern for either transmission or reception of backhaul link</w:t>
      </w:r>
    </w:p>
    <w:p w14:paraId="3735157C" w14:textId="77777777" w:rsidR="00DC152B" w:rsidRPr="00622AE0" w:rsidRDefault="00DC152B" w:rsidP="0056199F">
      <w:pPr>
        <w:pStyle w:val="ListParagraph"/>
        <w:numPr>
          <w:ilvl w:val="0"/>
          <w:numId w:val="30"/>
        </w:numPr>
        <w:contextualSpacing/>
        <w:jc w:val="both"/>
        <w:rPr>
          <w:lang w:val="en-US"/>
        </w:rPr>
      </w:pPr>
      <w:r w:rsidRPr="00622AE0">
        <w:rPr>
          <w:lang w:val="en-US"/>
        </w:rPr>
        <w:t>IAB Donor using the DL parts of the TDD pattern for either transmission or reception of backhaul link</w:t>
      </w:r>
    </w:p>
    <w:p w14:paraId="06B39194" w14:textId="77777777" w:rsidR="00C4304D" w:rsidRPr="00622AE0" w:rsidRDefault="00C4304D" w:rsidP="0056199F">
      <w:pPr>
        <w:contextualSpacing/>
        <w:jc w:val="both"/>
      </w:pPr>
    </w:p>
    <w:p w14:paraId="6D9D2536" w14:textId="6373A8B2" w:rsidR="00817A2A" w:rsidRPr="00622AE0" w:rsidRDefault="00C4304D" w:rsidP="0056199F">
      <w:pPr>
        <w:jc w:val="both"/>
      </w:pPr>
      <w:r w:rsidRPr="00622AE0">
        <w:t>Scenario 1 assume</w:t>
      </w:r>
      <w:r w:rsidR="008A6E9B" w:rsidRPr="00622AE0">
        <w:t>s</w:t>
      </w:r>
      <w:r w:rsidRPr="00622AE0">
        <w:t xml:space="preserve"> a traditional transmission configuration, with all upstream and downstream transmissions in UL and DL slots, respectively. Scenario 2 assume</w:t>
      </w:r>
      <w:r w:rsidR="008A6E9B" w:rsidRPr="00622AE0">
        <w:t>s</w:t>
      </w:r>
      <w:r w:rsidRPr="00622AE0">
        <w:t xml:space="preserve"> that an MT transmits its UL data in DL transmission slots; this </w:t>
      </w:r>
      <w:r w:rsidR="008A6E9B" w:rsidRPr="00622AE0">
        <w:t>i</w:t>
      </w:r>
      <w:r w:rsidRPr="00622AE0">
        <w:t xml:space="preserve">s the only difference. Operation on access links </w:t>
      </w:r>
      <w:r w:rsidR="008A6E9B" w:rsidRPr="00622AE0">
        <w:t>i</w:t>
      </w:r>
      <w:r w:rsidRPr="00622AE0">
        <w:t>s still according to Case-1, as in the first scenario.</w:t>
      </w:r>
    </w:p>
    <w:p w14:paraId="527B7BE3" w14:textId="4914DCC2" w:rsidR="00DC152B" w:rsidRPr="00622AE0" w:rsidRDefault="00DC152B" w:rsidP="0056199F">
      <w:pPr>
        <w:contextualSpacing/>
        <w:jc w:val="both"/>
      </w:pPr>
      <w:r w:rsidRPr="00622AE0">
        <w:t>One advantage of Scenario 2 is that simultaneous transmission or simultaneous reception w</w:t>
      </w:r>
      <w:r w:rsidR="00076B36" w:rsidRPr="00622AE0">
        <w:t>ill</w:t>
      </w:r>
      <w:r w:rsidRPr="00622AE0">
        <w:t xml:space="preserve"> not impact the timing requirements of Rel-15 UEs, since IAB BH link transmission and reception is limited to DL slots in TDD patterns, </w:t>
      </w:r>
      <w:r w:rsidR="009111FD" w:rsidRPr="00622AE0">
        <w:t>since</w:t>
      </w:r>
      <w:r w:rsidRPr="00622AE0">
        <w:t xml:space="preserve"> UE transmissions only occur in UL, i.e., access and IAB BH links are timing-wise separated.</w:t>
      </w:r>
    </w:p>
    <w:p w14:paraId="664CA2F5" w14:textId="281E68A5" w:rsidR="00DC152B" w:rsidRPr="00622AE0" w:rsidRDefault="00DC152B" w:rsidP="0056199F">
      <w:pPr>
        <w:pStyle w:val="Proposal"/>
        <w:jc w:val="both"/>
      </w:pPr>
      <w:bookmarkStart w:id="8" w:name="_Toc47734524"/>
      <w:bookmarkStart w:id="9" w:name="_Toc54383650"/>
      <w:r w:rsidRPr="00622AE0">
        <w:t>Adopt Scenario 2</w:t>
      </w:r>
      <w:r w:rsidR="003B5010" w:rsidRPr="00622AE0">
        <w:t xml:space="preserve"> as defined in RAN4</w:t>
      </w:r>
      <w:r w:rsidRPr="00622AE0">
        <w:t xml:space="preserve"> (i.e.</w:t>
      </w:r>
      <w:r w:rsidR="009111FD" w:rsidRPr="00622AE0">
        <w:t>,</w:t>
      </w:r>
      <w:r w:rsidRPr="00622AE0">
        <w:t xml:space="preserve"> transmissions </w:t>
      </w:r>
      <w:r w:rsidR="0087441F" w:rsidRPr="00622AE0">
        <w:t>on BH links only in DL time slots</w:t>
      </w:r>
      <w:r w:rsidRPr="00622AE0">
        <w:t>) as baseline for studies related to simultaneous transmission or reception of IAB-nodes.</w:t>
      </w:r>
      <w:bookmarkEnd w:id="8"/>
      <w:bookmarkEnd w:id="9"/>
    </w:p>
    <w:p w14:paraId="3FC5DEF6" w14:textId="6AE2C368" w:rsidR="00D648AF" w:rsidRPr="00622AE0" w:rsidRDefault="00DC152B" w:rsidP="0056199F">
      <w:pPr>
        <w:jc w:val="both"/>
      </w:pPr>
      <w:r w:rsidRPr="00622AE0">
        <w:t>In Rel-16, RAN1 has specified an OTA method to enable Case-1 timing alignment based on timing advance information on the parent backhaul uplink and additional information about parent node internal uplink/downlink timing arrangements (</w:t>
      </w:r>
      <w:proofErr w:type="spellStart"/>
      <w:r w:rsidRPr="00622AE0">
        <w:t>T_delta</w:t>
      </w:r>
      <w:proofErr w:type="spellEnd"/>
      <w:r w:rsidRPr="00622AE0">
        <w:t xml:space="preserve">). However, in a timing configuration as Case-7, an IAB-node is setting its own UL reception timing. Therefore, no additional signaling is required to align </w:t>
      </w:r>
      <w:r w:rsidR="00360D62" w:rsidRPr="00622AE0">
        <w:t>an IAB-node’s</w:t>
      </w:r>
      <w:r w:rsidRPr="00622AE0">
        <w:t xml:space="preserve"> UL reception timing to its DL reception timing.</w:t>
      </w:r>
    </w:p>
    <w:p w14:paraId="250760BB" w14:textId="4301B08F" w:rsidR="00D648AF" w:rsidRPr="00622AE0" w:rsidRDefault="00A908E7" w:rsidP="0056199F">
      <w:pPr>
        <w:pStyle w:val="Observation"/>
        <w:ind w:left="1701" w:hanging="1701"/>
        <w:jc w:val="both"/>
      </w:pPr>
      <w:bookmarkStart w:id="10" w:name="_Toc54383643"/>
      <w:r w:rsidRPr="00622AE0">
        <w:t>In Case-7, no additional signaling is required to align the UL reception timing of an IAB-node to its DL reception timing</w:t>
      </w:r>
      <w:r w:rsidR="00D648AF" w:rsidRPr="00622AE0">
        <w:t>.</w:t>
      </w:r>
      <w:bookmarkEnd w:id="10"/>
    </w:p>
    <w:p w14:paraId="092A23B8" w14:textId="4554745D" w:rsidR="00BC3A9B" w:rsidRPr="00622AE0" w:rsidRDefault="00DC152B" w:rsidP="0056199F">
      <w:pPr>
        <w:jc w:val="both"/>
      </w:pPr>
      <w:r w:rsidRPr="00622AE0">
        <w:t>In Rel-16, support for Case-1 timing alignment was achieved by using meta-information of 4 timestamps. Two timestamps on the IAB-node side (TA as the difference between DL Rx and UL Tx) and the difference of two timestamps on parent node side (</w:t>
      </w:r>
      <w:proofErr w:type="spellStart"/>
      <w:r w:rsidRPr="00622AE0">
        <w:t>T_delta</w:t>
      </w:r>
      <w:proofErr w:type="spellEnd"/>
      <w:r w:rsidRPr="00622AE0">
        <w:t xml:space="preserve"> as the difference between DL Tx and UL Rx). Technically, no restrictions apply on the magnitudes of the timestamp differences or the relative location within periodic system frames. It should also work for a positive </w:t>
      </w:r>
      <w:proofErr w:type="spellStart"/>
      <w:r w:rsidRPr="00622AE0">
        <w:t>T_delta</w:t>
      </w:r>
      <w:proofErr w:type="spellEnd"/>
      <w:r w:rsidRPr="00622AE0">
        <w:t xml:space="preserve"> (</w:t>
      </w:r>
      <w:r w:rsidR="00696843" w:rsidRPr="00622AE0">
        <w:t xml:space="preserve">as for Case-6, </w:t>
      </w:r>
      <w:r w:rsidRPr="00622AE0">
        <w:t xml:space="preserve">whereas </w:t>
      </w:r>
      <w:proofErr w:type="spellStart"/>
      <w:r w:rsidRPr="00622AE0">
        <w:t>T_delta</w:t>
      </w:r>
      <w:proofErr w:type="spellEnd"/>
      <w:r w:rsidRPr="00622AE0">
        <w:t xml:space="preserve"> in Rel-16 is always negative), potentially resulting in a negative TA on the IAB-node side.</w:t>
      </w:r>
    </w:p>
    <w:p w14:paraId="600F2180" w14:textId="43B4C659" w:rsidR="00DC152B" w:rsidRPr="00622AE0" w:rsidRDefault="003022C8" w:rsidP="0056199F">
      <w:pPr>
        <w:jc w:val="both"/>
      </w:pPr>
      <w:r w:rsidRPr="00622AE0">
        <w:t xml:space="preserve">As for Case-1, it is crucial in Case-6 for the IAB-node or its parent IAB-node to know the propagation delay </w:t>
      </w:r>
      <w:proofErr w:type="spellStart"/>
      <w:r w:rsidRPr="00622AE0">
        <w:t>Tprop</w:t>
      </w:r>
      <w:proofErr w:type="spellEnd"/>
      <w:r w:rsidRPr="00622AE0">
        <w:t xml:space="preserve"> between the parent and IAB-node. In the following, we show that the relation of </w:t>
      </w:r>
      <w:proofErr w:type="spellStart"/>
      <w:r w:rsidRPr="00622AE0">
        <w:t>Tprop</w:t>
      </w:r>
      <w:proofErr w:type="spellEnd"/>
      <w:r w:rsidRPr="00622AE0">
        <w:t xml:space="preserve">, TA and </w:t>
      </w:r>
      <w:proofErr w:type="spellStart"/>
      <w:r w:rsidRPr="00622AE0">
        <w:t>T</w:t>
      </w:r>
      <w:r w:rsidR="00A57721" w:rsidRPr="00622AE0">
        <w:t>_</w:t>
      </w:r>
      <w:r w:rsidRPr="00622AE0">
        <w:t>delta</w:t>
      </w:r>
      <w:proofErr w:type="spellEnd"/>
      <w:r w:rsidRPr="00622AE0">
        <w:t xml:space="preserve"> (or any equivalent) also holds for any, including Case-6, timing configuration and is therefore universal.</w:t>
      </w:r>
    </w:p>
    <w:p w14:paraId="3BDB92A5" w14:textId="7BA4EDFE" w:rsidR="00FF0DED" w:rsidRPr="00622AE0" w:rsidRDefault="003022C8" w:rsidP="0056199F">
      <w:pPr>
        <w:jc w:val="both"/>
      </w:pPr>
      <w:r w:rsidRPr="00622AE0">
        <w:t xml:space="preserve">If TA and a </w:t>
      </w:r>
      <w:proofErr w:type="spellStart"/>
      <w:r w:rsidRPr="00622AE0">
        <w:t>T</w:t>
      </w:r>
      <w:r w:rsidR="00BD437D" w:rsidRPr="00622AE0">
        <w:t>_</w:t>
      </w:r>
      <w:r w:rsidRPr="00622AE0">
        <w:t>delta</w:t>
      </w:r>
      <w:proofErr w:type="spellEnd"/>
      <w:r w:rsidRPr="00622AE0">
        <w:t xml:space="preserve"> are defined as </w:t>
      </w:r>
      <w:r w:rsidR="00933FFC" w:rsidRPr="00622AE0">
        <w:t>for</w:t>
      </w:r>
      <w:r w:rsidRPr="00622AE0">
        <w:t xml:space="preserve"> Case-1</w:t>
      </w:r>
      <w:r w:rsidR="00933FFC" w:rsidRPr="00622AE0">
        <w:t>,</w:t>
      </w:r>
      <w:r w:rsidR="007249A7" w:rsidRPr="00622AE0">
        <w:t xml:space="preserve"> and we further introduce the term </w:t>
      </w:r>
      <w:r w:rsidR="007249A7" w:rsidRPr="00622AE0">
        <w:sym w:font="Symbol" w:char="F044"/>
      </w:r>
      <w:r w:rsidR="007249A7" w:rsidRPr="00622AE0">
        <w:t xml:space="preserve">T corresponding to </w:t>
      </w:r>
      <w:r w:rsidR="00933FFC" w:rsidRPr="00622AE0">
        <w:noBreakHyphen/>
      </w:r>
      <w:r w:rsidR="007249A7" w:rsidRPr="00622AE0">
        <w:t>2*</w:t>
      </w:r>
      <w:proofErr w:type="spellStart"/>
      <w:r w:rsidR="007249A7" w:rsidRPr="00622AE0">
        <w:t>T_delta</w:t>
      </w:r>
      <w:proofErr w:type="spellEnd"/>
      <w:r w:rsidR="007249A7" w:rsidRPr="00622AE0">
        <w:t xml:space="preserve"> as interpreted in Rel-16 agreements for brevity, then the following </w:t>
      </w:r>
      <w:r w:rsidR="00933FFC" w:rsidRPr="00622AE0">
        <w:t>relations apply</w:t>
      </w:r>
    </w:p>
    <w:p w14:paraId="43666E63" w14:textId="65F25939" w:rsidR="003022C8" w:rsidRPr="00622AE0" w:rsidRDefault="00C4304D" w:rsidP="0056199F">
      <w:pPr>
        <w:pStyle w:val="ListParagraph"/>
        <w:numPr>
          <w:ilvl w:val="0"/>
          <w:numId w:val="33"/>
        </w:numPr>
        <w:jc w:val="both"/>
        <w:rPr>
          <w:lang w:val="en-US"/>
        </w:rPr>
      </w:pPr>
      <w:r w:rsidRPr="00622AE0">
        <w:rPr>
          <w:lang w:val="en-US"/>
        </w:rPr>
        <w:sym w:font="Symbol" w:char="F044"/>
      </w:r>
      <w:r w:rsidRPr="00622AE0">
        <w:rPr>
          <w:lang w:val="en-US"/>
        </w:rPr>
        <w:t>T</w:t>
      </w:r>
      <w:r w:rsidR="003022C8" w:rsidRPr="00622AE0">
        <w:rPr>
          <w:lang w:val="en-US"/>
        </w:rPr>
        <w:t xml:space="preserve">: </w:t>
      </w:r>
      <w:proofErr w:type="spellStart"/>
      <w:r w:rsidR="003022C8" w:rsidRPr="00622AE0">
        <w:rPr>
          <w:lang w:val="en-US"/>
        </w:rPr>
        <w:t>UL_RX_p</w:t>
      </w:r>
      <w:proofErr w:type="spellEnd"/>
      <w:r w:rsidR="003022C8" w:rsidRPr="00622AE0">
        <w:rPr>
          <w:lang w:val="en-US"/>
        </w:rPr>
        <w:t xml:space="preserve"> + </w:t>
      </w:r>
      <w:r w:rsidRPr="00622AE0">
        <w:rPr>
          <w:lang w:val="en-US"/>
        </w:rPr>
        <w:sym w:font="Symbol" w:char="F044"/>
      </w:r>
      <w:r w:rsidRPr="00622AE0">
        <w:rPr>
          <w:lang w:val="en-US"/>
        </w:rPr>
        <w:t>T</w:t>
      </w:r>
      <w:r w:rsidR="003022C8" w:rsidRPr="00622AE0">
        <w:rPr>
          <w:lang w:val="en-US"/>
        </w:rPr>
        <w:t xml:space="preserve"> = </w:t>
      </w:r>
      <w:proofErr w:type="spellStart"/>
      <w:r w:rsidR="003022C8" w:rsidRPr="00622AE0">
        <w:rPr>
          <w:lang w:val="en-US"/>
        </w:rPr>
        <w:t>DL_TX_p</w:t>
      </w:r>
      <w:proofErr w:type="spellEnd"/>
    </w:p>
    <w:p w14:paraId="79477354" w14:textId="410CEA64" w:rsidR="003022C8" w:rsidRPr="00407884" w:rsidRDefault="003022C8" w:rsidP="0056199F">
      <w:pPr>
        <w:pStyle w:val="ListParagraph"/>
        <w:numPr>
          <w:ilvl w:val="0"/>
          <w:numId w:val="33"/>
        </w:numPr>
        <w:jc w:val="both"/>
        <w:rPr>
          <w:lang w:val="sv-SE"/>
        </w:rPr>
      </w:pPr>
      <w:r w:rsidRPr="00407884">
        <w:rPr>
          <w:lang w:val="sv-SE"/>
        </w:rPr>
        <w:t xml:space="preserve">TA: </w:t>
      </w:r>
      <w:proofErr w:type="spellStart"/>
      <w:r w:rsidRPr="00407884">
        <w:rPr>
          <w:lang w:val="sv-SE"/>
        </w:rPr>
        <w:t>UL_TX_c</w:t>
      </w:r>
      <w:proofErr w:type="spellEnd"/>
      <w:r w:rsidRPr="00407884">
        <w:rPr>
          <w:lang w:val="sv-SE"/>
        </w:rPr>
        <w:t xml:space="preserve"> + TA = </w:t>
      </w:r>
      <w:proofErr w:type="spellStart"/>
      <w:r w:rsidRPr="00407884">
        <w:rPr>
          <w:lang w:val="sv-SE"/>
        </w:rPr>
        <w:t>DL_RX_c</w:t>
      </w:r>
      <w:proofErr w:type="spellEnd"/>
      <w:r w:rsidR="0018040A" w:rsidRPr="00407884">
        <w:rPr>
          <w:lang w:val="sv-SE"/>
        </w:rPr>
        <w:t>,</w:t>
      </w:r>
    </w:p>
    <w:p w14:paraId="01572ACC" w14:textId="23EE2A99" w:rsidR="00FF0DED" w:rsidRPr="00622AE0" w:rsidRDefault="0018040A" w:rsidP="0056199F">
      <w:pPr>
        <w:jc w:val="both"/>
      </w:pPr>
      <w:r w:rsidRPr="00622AE0">
        <w:t>and if reception timings are delayed relative to their respective transmission timings (a matter of physics)</w:t>
      </w:r>
    </w:p>
    <w:p w14:paraId="7D3646E8" w14:textId="0DE329F5" w:rsidR="0018040A" w:rsidRPr="00622AE0" w:rsidRDefault="0018040A" w:rsidP="0056199F">
      <w:pPr>
        <w:numPr>
          <w:ilvl w:val="0"/>
          <w:numId w:val="32"/>
        </w:numPr>
        <w:jc w:val="both"/>
        <w:rPr>
          <w:rFonts w:ascii="Calibri" w:eastAsia="Times New Roman" w:hAnsi="Calibri" w:cs="Calibri"/>
          <w:color w:val="000000"/>
          <w:lang w:eastAsia="en-GB"/>
        </w:rPr>
      </w:pPr>
      <w:proofErr w:type="spellStart"/>
      <w:r w:rsidRPr="00622AE0">
        <w:rPr>
          <w:rFonts w:ascii="Calibri" w:eastAsia="Times New Roman" w:hAnsi="Calibri" w:cs="Calibri"/>
          <w:color w:val="000000"/>
          <w:lang w:eastAsia="en-GB"/>
        </w:rPr>
        <w:t>UL_TX_c</w:t>
      </w:r>
      <w:proofErr w:type="spellEnd"/>
      <w:r w:rsidRPr="00622AE0">
        <w:rPr>
          <w:rFonts w:ascii="Calibri" w:eastAsia="Times New Roman" w:hAnsi="Calibri" w:cs="Calibri"/>
          <w:color w:val="000000"/>
          <w:lang w:eastAsia="en-GB"/>
        </w:rPr>
        <w:t xml:space="preserve"> + </w:t>
      </w:r>
      <w:proofErr w:type="spellStart"/>
      <w:r w:rsidRPr="00622AE0">
        <w:rPr>
          <w:rFonts w:ascii="Calibri" w:eastAsia="Times New Roman" w:hAnsi="Calibri" w:cs="Calibri"/>
          <w:color w:val="000000"/>
          <w:lang w:eastAsia="en-GB"/>
        </w:rPr>
        <w:t>Tprop</w:t>
      </w:r>
      <w:proofErr w:type="spellEnd"/>
      <w:r w:rsidRPr="00622AE0">
        <w:rPr>
          <w:rFonts w:ascii="Calibri" w:eastAsia="Times New Roman" w:hAnsi="Calibri" w:cs="Calibri"/>
          <w:color w:val="000000"/>
          <w:lang w:eastAsia="en-GB"/>
        </w:rPr>
        <w:t xml:space="preserve"> = </w:t>
      </w:r>
      <w:proofErr w:type="spellStart"/>
      <w:r w:rsidRPr="00622AE0">
        <w:rPr>
          <w:rFonts w:ascii="Calibri" w:eastAsia="Times New Roman" w:hAnsi="Calibri" w:cs="Calibri"/>
          <w:color w:val="000000"/>
          <w:lang w:eastAsia="en-GB"/>
        </w:rPr>
        <w:t>UL_RX_p</w:t>
      </w:r>
      <w:proofErr w:type="spellEnd"/>
    </w:p>
    <w:p w14:paraId="433DE3FC" w14:textId="243F7647" w:rsidR="0018040A" w:rsidRPr="00622AE0" w:rsidRDefault="0018040A" w:rsidP="0056199F">
      <w:pPr>
        <w:numPr>
          <w:ilvl w:val="0"/>
          <w:numId w:val="32"/>
        </w:numPr>
        <w:jc w:val="both"/>
        <w:rPr>
          <w:rFonts w:ascii="Calibri" w:eastAsia="Times New Roman" w:hAnsi="Calibri" w:cs="Calibri"/>
          <w:color w:val="000000"/>
          <w:lang w:eastAsia="en-GB"/>
        </w:rPr>
      </w:pPr>
      <w:proofErr w:type="spellStart"/>
      <w:r w:rsidRPr="00622AE0">
        <w:rPr>
          <w:rFonts w:ascii="Calibri" w:eastAsia="Times New Roman" w:hAnsi="Calibri" w:cs="Calibri"/>
          <w:color w:val="000000"/>
          <w:lang w:eastAsia="en-GB"/>
        </w:rPr>
        <w:t>DL_TX_p</w:t>
      </w:r>
      <w:proofErr w:type="spellEnd"/>
      <w:r w:rsidRPr="00622AE0">
        <w:rPr>
          <w:rFonts w:ascii="Calibri" w:eastAsia="Times New Roman" w:hAnsi="Calibri" w:cs="Calibri"/>
          <w:color w:val="000000"/>
          <w:lang w:eastAsia="en-GB"/>
        </w:rPr>
        <w:t xml:space="preserve"> + </w:t>
      </w:r>
      <w:proofErr w:type="spellStart"/>
      <w:r w:rsidRPr="00622AE0">
        <w:rPr>
          <w:rFonts w:ascii="Calibri" w:eastAsia="Times New Roman" w:hAnsi="Calibri" w:cs="Calibri"/>
          <w:color w:val="000000"/>
          <w:lang w:eastAsia="en-GB"/>
        </w:rPr>
        <w:t>Tprop</w:t>
      </w:r>
      <w:proofErr w:type="spellEnd"/>
      <w:r w:rsidRPr="00622AE0">
        <w:rPr>
          <w:rFonts w:ascii="Calibri" w:eastAsia="Times New Roman" w:hAnsi="Calibri" w:cs="Calibri"/>
          <w:color w:val="000000"/>
          <w:lang w:eastAsia="en-GB"/>
        </w:rPr>
        <w:t xml:space="preserve"> = </w:t>
      </w:r>
      <w:proofErr w:type="spellStart"/>
      <w:r w:rsidRPr="00622AE0">
        <w:rPr>
          <w:rFonts w:ascii="Calibri" w:eastAsia="Times New Roman" w:hAnsi="Calibri" w:cs="Calibri"/>
          <w:color w:val="000000"/>
          <w:lang w:eastAsia="en-GB"/>
        </w:rPr>
        <w:t>DL_Rx_c</w:t>
      </w:r>
      <w:proofErr w:type="spellEnd"/>
      <w:r w:rsidRPr="00622AE0">
        <w:rPr>
          <w:rFonts w:ascii="Calibri" w:eastAsia="Times New Roman" w:hAnsi="Calibri" w:cs="Calibri"/>
          <w:color w:val="000000"/>
          <w:lang w:eastAsia="en-GB"/>
        </w:rPr>
        <w:t>,</w:t>
      </w:r>
    </w:p>
    <w:p w14:paraId="2F9D9291" w14:textId="6ED15919" w:rsidR="0087441F" w:rsidRPr="00622AE0" w:rsidRDefault="00FF0DED" w:rsidP="0056199F">
      <w:pPr>
        <w:jc w:val="both"/>
        <w:rPr>
          <w:rFonts w:ascii="Calibri" w:eastAsia="Times New Roman" w:hAnsi="Calibri" w:cs="Calibri"/>
          <w:color w:val="000000"/>
          <w:lang w:eastAsia="en-GB"/>
        </w:rPr>
      </w:pPr>
      <w:r w:rsidRPr="00622AE0">
        <w:rPr>
          <w:rFonts w:ascii="Calibri" w:eastAsia="Times New Roman" w:hAnsi="Calibri" w:cs="Calibri"/>
          <w:color w:val="000000"/>
          <w:lang w:eastAsia="en-GB"/>
        </w:rPr>
        <w:t xml:space="preserve">where </w:t>
      </w:r>
      <w:proofErr w:type="spellStart"/>
      <w:r w:rsidRPr="00622AE0">
        <w:t>UL_RX_p</w:t>
      </w:r>
      <w:proofErr w:type="spellEnd"/>
      <w:r w:rsidRPr="00622AE0">
        <w:rPr>
          <w:rFonts w:ascii="Calibri" w:eastAsia="Times New Roman" w:hAnsi="Calibri" w:cs="Calibri"/>
          <w:color w:val="000000"/>
          <w:lang w:eastAsia="en-GB"/>
        </w:rPr>
        <w:t xml:space="preserve">  and </w:t>
      </w:r>
      <w:proofErr w:type="spellStart"/>
      <w:r w:rsidRPr="00622AE0">
        <w:t>DL_TX_p</w:t>
      </w:r>
      <w:proofErr w:type="spellEnd"/>
      <w:r w:rsidRPr="00622AE0">
        <w:t xml:space="preserve"> denote the UL reception and DL transmission timing at parent IAB-node, respectively, and </w:t>
      </w:r>
      <w:proofErr w:type="spellStart"/>
      <w:r w:rsidRPr="00622AE0">
        <w:t>UL_TX_c</w:t>
      </w:r>
      <w:proofErr w:type="spellEnd"/>
      <w:r w:rsidRPr="00622AE0">
        <w:rPr>
          <w:rFonts w:ascii="Calibri" w:eastAsia="Times New Roman" w:hAnsi="Calibri" w:cs="Calibri"/>
          <w:color w:val="000000"/>
          <w:lang w:eastAsia="en-GB"/>
        </w:rPr>
        <w:t xml:space="preserve">  and </w:t>
      </w:r>
      <w:proofErr w:type="spellStart"/>
      <w:r w:rsidRPr="00622AE0">
        <w:t>DL_RX_c</w:t>
      </w:r>
      <w:proofErr w:type="spellEnd"/>
      <w:r w:rsidRPr="00622AE0">
        <w:t xml:space="preserve"> denote the UL transmission and DL reception timing at the IAB-node, respectively,</w:t>
      </w:r>
      <w:r w:rsidRPr="00622AE0">
        <w:rPr>
          <w:rFonts w:ascii="Calibri" w:eastAsia="Times New Roman" w:hAnsi="Calibri" w:cs="Calibri"/>
          <w:color w:val="000000"/>
          <w:lang w:eastAsia="en-GB"/>
        </w:rPr>
        <w:t xml:space="preserve"> </w:t>
      </w:r>
      <w:r w:rsidR="0018040A" w:rsidRPr="00622AE0">
        <w:rPr>
          <w:rFonts w:ascii="Calibri" w:eastAsia="Times New Roman" w:hAnsi="Calibri" w:cs="Calibri"/>
          <w:color w:val="000000"/>
          <w:lang w:eastAsia="en-GB"/>
        </w:rPr>
        <w:t>it follows that 2*</w:t>
      </w:r>
      <w:proofErr w:type="spellStart"/>
      <w:r w:rsidR="0018040A" w:rsidRPr="00622AE0">
        <w:rPr>
          <w:rFonts w:ascii="Calibri" w:eastAsia="Times New Roman" w:hAnsi="Calibri" w:cs="Calibri"/>
          <w:color w:val="000000"/>
          <w:lang w:eastAsia="en-GB"/>
        </w:rPr>
        <w:t>Tprop</w:t>
      </w:r>
      <w:proofErr w:type="spellEnd"/>
      <w:r w:rsidR="0018040A" w:rsidRPr="00622AE0">
        <w:rPr>
          <w:rFonts w:ascii="Calibri" w:eastAsia="Times New Roman" w:hAnsi="Calibri" w:cs="Calibri"/>
          <w:color w:val="000000"/>
          <w:lang w:eastAsia="en-GB"/>
        </w:rPr>
        <w:t xml:space="preserve"> + </w:t>
      </w:r>
      <w:r w:rsidR="00C4304D" w:rsidRPr="00622AE0">
        <w:sym w:font="Symbol" w:char="F044"/>
      </w:r>
      <w:r w:rsidR="00C4304D" w:rsidRPr="00622AE0">
        <w:t>T</w:t>
      </w:r>
      <w:r w:rsidR="0018040A" w:rsidRPr="00622AE0">
        <w:rPr>
          <w:rFonts w:ascii="Calibri" w:eastAsia="Times New Roman" w:hAnsi="Calibri" w:cs="Calibri"/>
          <w:color w:val="000000"/>
          <w:lang w:eastAsia="en-GB"/>
        </w:rPr>
        <w:t xml:space="preserve"> = TA</w:t>
      </w:r>
      <w:r w:rsidR="00A57721" w:rsidRPr="00622AE0">
        <w:rPr>
          <w:rFonts w:ascii="Calibri" w:eastAsia="Times New Roman" w:hAnsi="Calibri" w:cs="Calibri"/>
          <w:color w:val="000000"/>
          <w:lang w:eastAsia="en-GB"/>
        </w:rPr>
        <w:t xml:space="preserve"> (or </w:t>
      </w:r>
      <w:proofErr w:type="spellStart"/>
      <w:r w:rsidR="00A57721" w:rsidRPr="00622AE0">
        <w:rPr>
          <w:rFonts w:ascii="Calibri" w:eastAsia="Times New Roman" w:hAnsi="Calibri" w:cs="Calibri"/>
          <w:color w:val="000000"/>
          <w:lang w:eastAsia="en-GB"/>
        </w:rPr>
        <w:t>Tprop</w:t>
      </w:r>
      <w:proofErr w:type="spellEnd"/>
      <w:r w:rsidR="00A57721" w:rsidRPr="00622AE0">
        <w:rPr>
          <w:rFonts w:ascii="Calibri" w:eastAsia="Times New Roman" w:hAnsi="Calibri" w:cs="Calibri"/>
          <w:color w:val="000000"/>
          <w:lang w:eastAsia="en-GB"/>
        </w:rPr>
        <w:t xml:space="preserve">=TA/2+T_delta, </w:t>
      </w:r>
      <w:r w:rsidR="007D351B" w:rsidRPr="00622AE0">
        <w:rPr>
          <w:rFonts w:ascii="Calibri" w:eastAsia="Times New Roman" w:hAnsi="Calibri" w:cs="Calibri"/>
          <w:color w:val="000000"/>
          <w:lang w:eastAsia="en-GB"/>
        </w:rPr>
        <w:t>using</w:t>
      </w:r>
      <w:r w:rsidR="00A57721" w:rsidRPr="00622AE0">
        <w:rPr>
          <w:rFonts w:ascii="Calibri" w:eastAsia="Times New Roman" w:hAnsi="Calibri" w:cs="Calibri"/>
          <w:color w:val="000000"/>
          <w:lang w:eastAsia="en-GB"/>
        </w:rPr>
        <w:t xml:space="preserve"> </w:t>
      </w:r>
      <w:r w:rsidR="007D351B" w:rsidRPr="00622AE0">
        <w:rPr>
          <w:rFonts w:ascii="Calibri" w:eastAsia="Times New Roman" w:hAnsi="Calibri" w:cs="Calibri"/>
          <w:color w:val="000000"/>
          <w:lang w:eastAsia="en-GB"/>
        </w:rPr>
        <w:t xml:space="preserve">the </w:t>
      </w:r>
      <w:r w:rsidR="00A57721" w:rsidRPr="00622AE0">
        <w:rPr>
          <w:rFonts w:ascii="Calibri" w:eastAsia="Times New Roman" w:hAnsi="Calibri" w:cs="Calibri"/>
          <w:color w:val="000000"/>
          <w:lang w:eastAsia="en-GB"/>
        </w:rPr>
        <w:t>Rel-16 agreement</w:t>
      </w:r>
      <w:r w:rsidR="007D351B" w:rsidRPr="00622AE0">
        <w:rPr>
          <w:rFonts w:ascii="Calibri" w:eastAsia="Times New Roman" w:hAnsi="Calibri" w:cs="Calibri"/>
          <w:color w:val="000000"/>
          <w:lang w:eastAsia="en-GB"/>
        </w:rPr>
        <w:t xml:space="preserve"> </w:t>
      </w:r>
      <w:r w:rsidR="007D351B" w:rsidRPr="00622AE0">
        <w:rPr>
          <w:rFonts w:ascii="Calibri" w:eastAsia="Times New Roman" w:hAnsi="Calibri" w:cs="Calibri"/>
          <w:color w:val="000000"/>
          <w:lang w:eastAsia="en-GB"/>
        </w:rPr>
        <w:lastRenderedPageBreak/>
        <w:t>notation</w:t>
      </w:r>
      <w:r w:rsidR="00A57721" w:rsidRPr="00622AE0">
        <w:rPr>
          <w:rFonts w:ascii="Calibri" w:eastAsia="Times New Roman" w:hAnsi="Calibri" w:cs="Calibri"/>
          <w:color w:val="000000"/>
          <w:lang w:eastAsia="en-GB"/>
        </w:rPr>
        <w:t>)</w:t>
      </w:r>
      <w:r w:rsidR="00696843" w:rsidRPr="00622AE0">
        <w:rPr>
          <w:rFonts w:ascii="Calibri" w:eastAsia="Times New Roman" w:hAnsi="Calibri" w:cs="Calibri"/>
          <w:color w:val="000000"/>
          <w:lang w:eastAsia="en-GB"/>
        </w:rPr>
        <w:t>. This</w:t>
      </w:r>
      <w:r w:rsidR="0018040A" w:rsidRPr="00622AE0">
        <w:rPr>
          <w:rFonts w:ascii="Calibri" w:eastAsia="Times New Roman" w:hAnsi="Calibri" w:cs="Calibri"/>
          <w:color w:val="000000"/>
          <w:lang w:eastAsia="en-GB"/>
        </w:rPr>
        <w:t xml:space="preserve"> is an equivalent relation </w:t>
      </w:r>
      <w:r w:rsidR="00696843" w:rsidRPr="00622AE0">
        <w:rPr>
          <w:rFonts w:ascii="Calibri" w:eastAsia="Times New Roman" w:hAnsi="Calibri" w:cs="Calibri"/>
          <w:color w:val="000000"/>
          <w:lang w:eastAsia="en-GB"/>
        </w:rPr>
        <w:t>to the one</w:t>
      </w:r>
      <w:r w:rsidR="0018040A" w:rsidRPr="00622AE0">
        <w:rPr>
          <w:rFonts w:ascii="Calibri" w:eastAsia="Times New Roman" w:hAnsi="Calibri" w:cs="Calibri"/>
          <w:color w:val="000000"/>
          <w:lang w:eastAsia="en-GB"/>
        </w:rPr>
        <w:t xml:space="preserve"> in Rel-16. We note that no </w:t>
      </w:r>
      <w:r w:rsidR="00EB4341" w:rsidRPr="00622AE0">
        <w:rPr>
          <w:rFonts w:ascii="Calibri" w:eastAsia="Times New Roman" w:hAnsi="Calibri" w:cs="Calibri"/>
          <w:color w:val="000000"/>
          <w:lang w:eastAsia="en-GB"/>
        </w:rPr>
        <w:t>restriction</w:t>
      </w:r>
      <w:r w:rsidR="0018040A" w:rsidRPr="00622AE0">
        <w:rPr>
          <w:rFonts w:ascii="Calibri" w:eastAsia="Times New Roman" w:hAnsi="Calibri" w:cs="Calibri"/>
          <w:color w:val="000000"/>
          <w:lang w:eastAsia="en-GB"/>
        </w:rPr>
        <w:t xml:space="preserve"> </w:t>
      </w:r>
      <w:r w:rsidR="00DB5EB8" w:rsidRPr="00622AE0">
        <w:rPr>
          <w:rFonts w:ascii="Calibri" w:eastAsia="Times New Roman" w:hAnsi="Calibri" w:cs="Calibri"/>
          <w:color w:val="000000"/>
          <w:lang w:eastAsia="en-GB"/>
        </w:rPr>
        <w:t>i</w:t>
      </w:r>
      <w:r w:rsidR="0018040A" w:rsidRPr="00622AE0">
        <w:rPr>
          <w:rFonts w:ascii="Calibri" w:eastAsia="Times New Roman" w:hAnsi="Calibri" w:cs="Calibri"/>
          <w:color w:val="000000"/>
          <w:lang w:eastAsia="en-GB"/>
        </w:rPr>
        <w:t xml:space="preserve">s made on </w:t>
      </w:r>
      <w:proofErr w:type="spellStart"/>
      <w:r w:rsidR="0018040A" w:rsidRPr="00622AE0">
        <w:rPr>
          <w:rFonts w:ascii="Calibri" w:eastAsia="Times New Roman" w:hAnsi="Calibri" w:cs="Calibri"/>
          <w:color w:val="000000"/>
          <w:lang w:eastAsia="en-GB"/>
        </w:rPr>
        <w:t>UL_RX_p</w:t>
      </w:r>
      <w:proofErr w:type="spellEnd"/>
      <w:r w:rsidR="0018040A" w:rsidRPr="00622AE0">
        <w:rPr>
          <w:rFonts w:ascii="Calibri" w:eastAsia="Times New Roman" w:hAnsi="Calibri" w:cs="Calibri"/>
          <w:color w:val="000000"/>
          <w:lang w:eastAsia="en-GB"/>
        </w:rPr>
        <w:t xml:space="preserve"> relative to the downlink transmission timing </w:t>
      </w:r>
      <w:proofErr w:type="spellStart"/>
      <w:r w:rsidR="00EB4341" w:rsidRPr="00622AE0">
        <w:rPr>
          <w:rFonts w:ascii="Calibri" w:eastAsia="Times New Roman" w:hAnsi="Calibri" w:cs="Calibri"/>
          <w:color w:val="000000"/>
          <w:lang w:eastAsia="en-GB"/>
        </w:rPr>
        <w:t>DL_TX_p</w:t>
      </w:r>
      <w:proofErr w:type="spellEnd"/>
      <w:r w:rsidR="00EB4341" w:rsidRPr="00622AE0">
        <w:rPr>
          <w:rFonts w:ascii="Calibri" w:eastAsia="Times New Roman" w:hAnsi="Calibri" w:cs="Calibri"/>
          <w:color w:val="000000"/>
          <w:lang w:eastAsia="en-GB"/>
        </w:rPr>
        <w:t xml:space="preserve"> </w:t>
      </w:r>
      <w:r w:rsidR="0018040A" w:rsidRPr="00622AE0">
        <w:rPr>
          <w:rFonts w:ascii="Calibri" w:eastAsia="Times New Roman" w:hAnsi="Calibri" w:cs="Calibri"/>
          <w:color w:val="000000"/>
          <w:lang w:eastAsia="en-GB"/>
        </w:rPr>
        <w:t>at the parent IAB-node.</w:t>
      </w:r>
    </w:p>
    <w:p w14:paraId="276C73AD" w14:textId="79973596" w:rsidR="00D648AF" w:rsidRPr="00622AE0" w:rsidRDefault="00EB4341" w:rsidP="0056199F">
      <w:pPr>
        <w:jc w:val="both"/>
      </w:pPr>
      <w:r w:rsidRPr="00622AE0">
        <w:t>As already mentioned, in</w:t>
      </w:r>
      <w:r w:rsidR="00DC152B" w:rsidRPr="00622AE0">
        <w:t xml:space="preserve"> Case-6, the Rel-16 equivalent of </w:t>
      </w:r>
      <w:proofErr w:type="spellStart"/>
      <w:r w:rsidR="00DC152B" w:rsidRPr="00622AE0">
        <w:t>T_delta</w:t>
      </w:r>
      <w:proofErr w:type="spellEnd"/>
      <w:r w:rsidR="00DC152B" w:rsidRPr="00622AE0">
        <w:t xml:space="preserve"> would be positive, as the UL reception always takes place after the DL transmission (see </w:t>
      </w:r>
      <w:r w:rsidR="005C4084" w:rsidRPr="00622AE0">
        <w:t>Figure 3</w:t>
      </w:r>
      <w:r w:rsidR="00DC152B" w:rsidRPr="00622AE0">
        <w:t xml:space="preserve">). Thus, the same method, providing information about the DL transmission and UL reception timing relation on parent node side, can be used </w:t>
      </w:r>
      <w:r w:rsidR="00CE3E5D" w:rsidRPr="00622AE0">
        <w:t xml:space="preserve">for Case-6 </w:t>
      </w:r>
      <w:r w:rsidR="00DC152B" w:rsidRPr="00622AE0">
        <w:t xml:space="preserve">as </w:t>
      </w:r>
      <w:r w:rsidR="00CE3E5D" w:rsidRPr="00622AE0">
        <w:t>is used</w:t>
      </w:r>
      <w:r w:rsidR="00DC152B" w:rsidRPr="00622AE0">
        <w:t xml:space="preserve"> for Case-1 timing alignment specified in Rel-16. The information about this relation can apply the same granularity, it only requires a new range (in extension and sign) of </w:t>
      </w:r>
      <w:proofErr w:type="spellStart"/>
      <w:r w:rsidR="00DC152B" w:rsidRPr="00622AE0">
        <w:t>T_delta</w:t>
      </w:r>
      <w:proofErr w:type="spellEnd"/>
      <w:r w:rsidR="00DC152B" w:rsidRPr="00622AE0">
        <w:t xml:space="preserve">. This requires involving RAN4 to propose a new </w:t>
      </w:r>
      <w:proofErr w:type="spellStart"/>
      <w:r w:rsidR="00DC152B" w:rsidRPr="00622AE0">
        <w:t>T_delta</w:t>
      </w:r>
      <w:proofErr w:type="spellEnd"/>
      <w:r w:rsidR="00DC152B" w:rsidRPr="00622AE0">
        <w:t xml:space="preserve"> </w:t>
      </w:r>
      <w:r w:rsidR="003B6B1A" w:rsidRPr="00622AE0">
        <w:t xml:space="preserve">range </w:t>
      </w:r>
      <w:r w:rsidR="00DC152B" w:rsidRPr="00622AE0">
        <w:t>for Case-6.</w:t>
      </w:r>
    </w:p>
    <w:p w14:paraId="1BFBFB70" w14:textId="345D4427" w:rsidR="00DC152B" w:rsidRPr="00622AE0" w:rsidRDefault="009F6C9A" w:rsidP="0056199F">
      <w:pPr>
        <w:pStyle w:val="Observation"/>
        <w:ind w:left="1701" w:hanging="1701"/>
        <w:jc w:val="both"/>
      </w:pPr>
      <w:bookmarkStart w:id="11" w:name="_Toc54383644"/>
      <w:r w:rsidRPr="00622AE0">
        <w:t xml:space="preserve">In Case-6, a </w:t>
      </w:r>
      <w:proofErr w:type="spellStart"/>
      <w:r w:rsidRPr="00622AE0">
        <w:t>T_delta</w:t>
      </w:r>
      <w:proofErr w:type="spellEnd"/>
      <w:r w:rsidR="00D403C2">
        <w:t>-</w:t>
      </w:r>
      <w:r w:rsidR="003B6B1A" w:rsidRPr="00622AE0">
        <w:t xml:space="preserve">based OTA timing alignment </w:t>
      </w:r>
      <w:r w:rsidRPr="00622AE0">
        <w:t xml:space="preserve">does not require any principal change of method and signaling </w:t>
      </w:r>
      <w:r w:rsidR="003B6B1A" w:rsidRPr="00622AE0">
        <w:t>type</w:t>
      </w:r>
      <w:r w:rsidRPr="00622AE0">
        <w:t xml:space="preserve"> compared to Case-1, only a new range specification</w:t>
      </w:r>
      <w:r w:rsidR="00D648AF" w:rsidRPr="00622AE0">
        <w:t>.</w:t>
      </w:r>
      <w:bookmarkEnd w:id="11"/>
    </w:p>
    <w:p w14:paraId="3D6BAACE" w14:textId="670BBBD6" w:rsidR="00DC152B" w:rsidRPr="00622AE0" w:rsidRDefault="00387C8D" w:rsidP="0056199F">
      <w:pPr>
        <w:pStyle w:val="Proposal"/>
        <w:jc w:val="both"/>
      </w:pPr>
      <w:bookmarkStart w:id="12" w:name="_Toc54383651"/>
      <w:r w:rsidRPr="00622AE0">
        <w:t>Ad</w:t>
      </w:r>
      <w:r w:rsidR="003A18AA" w:rsidRPr="00622AE0">
        <w:t>a</w:t>
      </w:r>
      <w:r w:rsidRPr="00622AE0">
        <w:t xml:space="preserve">pt </w:t>
      </w:r>
      <w:proofErr w:type="spellStart"/>
      <w:r w:rsidRPr="00622AE0">
        <w:t>T_delta</w:t>
      </w:r>
      <w:proofErr w:type="spellEnd"/>
      <w:r w:rsidRPr="00622AE0">
        <w:t xml:space="preserve"> based Rel-16 Case-1 timing alignment as baseline for Case-6 timing synchronization.</w:t>
      </w:r>
      <w:bookmarkEnd w:id="12"/>
    </w:p>
    <w:p w14:paraId="2D092BEE" w14:textId="08BEB4B2" w:rsidR="003B53BE" w:rsidRPr="00622AE0" w:rsidRDefault="0016655A" w:rsidP="0056199F">
      <w:pPr>
        <w:pStyle w:val="Heading1"/>
        <w:jc w:val="both"/>
        <w:rPr>
          <w:lang w:val="en-US"/>
        </w:rPr>
      </w:pPr>
      <w:r w:rsidRPr="00622AE0">
        <w:rPr>
          <w:lang w:val="en-US"/>
        </w:rPr>
        <w:t>Cross link interference</w:t>
      </w:r>
    </w:p>
    <w:p w14:paraId="0B3ED5EC" w14:textId="24FC2B0B" w:rsidR="00F47C1A" w:rsidRPr="00622AE0" w:rsidRDefault="00C15945" w:rsidP="0056199F">
      <w:pPr>
        <w:pStyle w:val="BodyText"/>
        <w:jc w:val="both"/>
      </w:pPr>
      <w:r w:rsidRPr="00622AE0">
        <w:t xml:space="preserve">In terms of </w:t>
      </w:r>
      <w:r w:rsidR="00FE055F" w:rsidRPr="00622AE0">
        <w:t xml:space="preserve">transmission capabilities, such as </w:t>
      </w:r>
      <w:r w:rsidR="00FE63DF" w:rsidRPr="00622AE0">
        <w:t xml:space="preserve">power allocation, beamforming, etc., an </w:t>
      </w:r>
      <w:r w:rsidR="007E64BA">
        <w:t>IAB-node</w:t>
      </w:r>
      <w:r w:rsidR="00FE63DF" w:rsidRPr="00622AE0">
        <w:t xml:space="preserve"> wil</w:t>
      </w:r>
      <w:r w:rsidR="00984A76" w:rsidRPr="00622AE0">
        <w:t xml:space="preserve">l </w:t>
      </w:r>
      <w:r w:rsidR="00D601BD" w:rsidRPr="00622AE0">
        <w:t>have</w:t>
      </w:r>
      <w:r w:rsidR="00FE055F" w:rsidRPr="00622AE0">
        <w:t xml:space="preserve"> </w:t>
      </w:r>
      <w:r w:rsidR="00984A76" w:rsidRPr="00622AE0">
        <w:t>the same properties as ordinary gNBs</w:t>
      </w:r>
      <w:r w:rsidR="00FE055F" w:rsidRPr="00622AE0">
        <w:t>,</w:t>
      </w:r>
      <w:r w:rsidR="008C2E1C" w:rsidRPr="00622AE0">
        <w:t xml:space="preserve"> and it is not expected to </w:t>
      </w:r>
      <w:r w:rsidR="00B444AD" w:rsidRPr="00622AE0">
        <w:t>differ apart from its backhauling capabilities</w:t>
      </w:r>
      <w:r w:rsidR="00984A76" w:rsidRPr="00622AE0">
        <w:t xml:space="preserve">. </w:t>
      </w:r>
      <w:r w:rsidR="0007656C" w:rsidRPr="00622AE0">
        <w:t xml:space="preserve">Thus, </w:t>
      </w:r>
      <w:r w:rsidR="002F0E65" w:rsidRPr="00622AE0">
        <w:t xml:space="preserve">it </w:t>
      </w:r>
      <w:r w:rsidR="4F350196" w:rsidRPr="00622AE0">
        <w:t>should</w:t>
      </w:r>
      <w:r w:rsidR="00167ED6" w:rsidRPr="00622AE0">
        <w:t xml:space="preserve"> be</w:t>
      </w:r>
      <w:r w:rsidR="002F0E65" w:rsidRPr="00622AE0">
        <w:t xml:space="preserve"> expected that </w:t>
      </w:r>
      <w:r w:rsidR="0007656C" w:rsidRPr="00622AE0">
        <w:t>interference</w:t>
      </w:r>
      <w:r w:rsidR="00711723" w:rsidRPr="00622AE0">
        <w:t xml:space="preserve">, </w:t>
      </w:r>
      <w:r w:rsidR="001908DF" w:rsidRPr="00622AE0">
        <w:t xml:space="preserve">possibly </w:t>
      </w:r>
      <w:r w:rsidR="00711723" w:rsidRPr="00622AE0">
        <w:t>caused by</w:t>
      </w:r>
      <w:r w:rsidR="00264398" w:rsidRPr="00622AE0">
        <w:t xml:space="preserve"> an </w:t>
      </w:r>
      <w:r w:rsidR="007E64BA">
        <w:t>IAB-node</w:t>
      </w:r>
      <w:r w:rsidR="00711723" w:rsidRPr="00622AE0">
        <w:t>,</w:t>
      </w:r>
      <w:r w:rsidR="00264398" w:rsidRPr="00622AE0">
        <w:t xml:space="preserve"> to </w:t>
      </w:r>
      <w:r w:rsidR="00BCE7DF" w:rsidRPr="00622AE0">
        <w:t>any</w:t>
      </w:r>
      <w:r w:rsidR="00A54177" w:rsidRPr="00622AE0">
        <w:t xml:space="preserve"> node in the RAN</w:t>
      </w:r>
      <w:r w:rsidR="00FF3BF7" w:rsidRPr="00622AE0">
        <w:t xml:space="preserve"> </w:t>
      </w:r>
      <w:r w:rsidR="00711723" w:rsidRPr="00622AE0">
        <w:t xml:space="preserve">should </w:t>
      </w:r>
      <w:r w:rsidR="003C665F" w:rsidRPr="00622AE0">
        <w:t xml:space="preserve">not </w:t>
      </w:r>
      <w:r w:rsidR="1F58718E" w:rsidRPr="00622AE0">
        <w:t>have</w:t>
      </w:r>
      <w:r w:rsidR="00BA2DBE" w:rsidRPr="00622AE0">
        <w:t xml:space="preserve"> </w:t>
      </w:r>
      <w:r w:rsidR="006F5059" w:rsidRPr="00622AE0">
        <w:t>more impact</w:t>
      </w:r>
      <w:r w:rsidR="0007656C" w:rsidRPr="00622AE0">
        <w:t xml:space="preserve"> </w:t>
      </w:r>
      <w:r w:rsidR="00851558" w:rsidRPr="00622AE0">
        <w:t>than</w:t>
      </w:r>
      <w:r w:rsidR="0007656C" w:rsidRPr="00622AE0">
        <w:t xml:space="preserve"> </w:t>
      </w:r>
      <w:r w:rsidR="3849FFFE" w:rsidRPr="00622AE0">
        <w:t>interference</w:t>
      </w:r>
      <w:r w:rsidR="00711723" w:rsidRPr="00622AE0">
        <w:t xml:space="preserve"> caused</w:t>
      </w:r>
      <w:r w:rsidR="3849FFFE" w:rsidRPr="00622AE0">
        <w:t xml:space="preserve"> </w:t>
      </w:r>
      <w:r w:rsidR="00711723" w:rsidRPr="00622AE0">
        <w:t>by</w:t>
      </w:r>
      <w:r w:rsidR="3849FFFE" w:rsidRPr="00622AE0">
        <w:t xml:space="preserve"> </w:t>
      </w:r>
      <w:r w:rsidR="0007656C" w:rsidRPr="00622AE0">
        <w:t>an ordinary gNB</w:t>
      </w:r>
      <w:r w:rsidR="00851558" w:rsidRPr="00622AE0">
        <w:t xml:space="preserve">. Therefore, </w:t>
      </w:r>
      <w:r w:rsidR="0A73B3AC" w:rsidRPr="00622AE0">
        <w:t>from</w:t>
      </w:r>
      <w:r w:rsidR="00605FD3" w:rsidRPr="00622AE0">
        <w:t xml:space="preserve"> </w:t>
      </w:r>
      <w:r w:rsidR="00711723" w:rsidRPr="00622AE0">
        <w:t xml:space="preserve">an </w:t>
      </w:r>
      <w:r w:rsidR="00605FD3" w:rsidRPr="00622AE0">
        <w:t>interference consideration</w:t>
      </w:r>
      <w:r w:rsidR="007178BA" w:rsidRPr="00622AE0">
        <w:t xml:space="preserve">, </w:t>
      </w:r>
      <w:r w:rsidR="00681598" w:rsidRPr="00622AE0">
        <w:t xml:space="preserve">assessing </w:t>
      </w:r>
      <w:r w:rsidR="007178BA" w:rsidRPr="00622AE0">
        <w:t>IAB</w:t>
      </w:r>
      <w:r w:rsidR="001908DF" w:rsidRPr="00622AE0">
        <w:t>-</w:t>
      </w:r>
      <w:r w:rsidR="007178BA" w:rsidRPr="00622AE0">
        <w:t xml:space="preserve">nodes should be </w:t>
      </w:r>
      <w:r w:rsidR="00681598" w:rsidRPr="00622AE0">
        <w:t xml:space="preserve">done in relation to if the same node instead </w:t>
      </w:r>
      <w:r w:rsidR="00431C7A" w:rsidRPr="00622AE0">
        <w:t>is</w:t>
      </w:r>
      <w:r w:rsidR="00681598" w:rsidRPr="00622AE0">
        <w:t xml:space="preserve"> an </w:t>
      </w:r>
      <w:r w:rsidR="007178BA" w:rsidRPr="00622AE0">
        <w:t>ordinary gNB</w:t>
      </w:r>
      <w:r w:rsidR="004206AD" w:rsidRPr="00622AE0">
        <w:t>.</w:t>
      </w:r>
    </w:p>
    <w:p w14:paraId="34C36593" w14:textId="5C89FD25" w:rsidR="004206AD" w:rsidRPr="00622AE0" w:rsidRDefault="000805CD" w:rsidP="0056199F">
      <w:pPr>
        <w:pStyle w:val="Proposal"/>
        <w:jc w:val="both"/>
        <w:rPr>
          <w:lang w:eastAsia="ja-JP"/>
        </w:rPr>
      </w:pPr>
      <w:bookmarkStart w:id="13" w:name="_Toc54383652"/>
      <w:r w:rsidRPr="00622AE0">
        <w:t xml:space="preserve">Interference </w:t>
      </w:r>
      <w:r w:rsidR="000531CD" w:rsidRPr="00622AE0">
        <w:t xml:space="preserve">caused </w:t>
      </w:r>
      <w:r w:rsidR="003648FB" w:rsidRPr="00622AE0">
        <w:t xml:space="preserve">by operation of IAB-nodes </w:t>
      </w:r>
      <w:r w:rsidRPr="00622AE0">
        <w:t xml:space="preserve">is assessed in relation to the interference if the </w:t>
      </w:r>
      <w:r w:rsidR="007E64BA">
        <w:t>IAB-node</w:t>
      </w:r>
      <w:r w:rsidRPr="00622AE0">
        <w:t xml:space="preserve"> was an ordinary gNB.</w:t>
      </w:r>
      <w:bookmarkEnd w:id="13"/>
      <w:r w:rsidRPr="00622AE0">
        <w:t xml:space="preserve"> </w:t>
      </w:r>
    </w:p>
    <w:p w14:paraId="4A817BCD" w14:textId="77777777" w:rsidR="00005005" w:rsidRPr="00622AE0" w:rsidRDefault="00005005" w:rsidP="0056199F">
      <w:pPr>
        <w:jc w:val="both"/>
      </w:pPr>
    </w:p>
    <w:p w14:paraId="69E104BC" w14:textId="0CF2C4E7" w:rsidR="007D7B56" w:rsidRPr="00622AE0" w:rsidRDefault="00183CE2" w:rsidP="0056199F">
      <w:pPr>
        <w:keepNext/>
        <w:jc w:val="center"/>
      </w:pPr>
      <w:r w:rsidRPr="00622AE0">
        <w:rPr>
          <w:noProof/>
        </w:rPr>
        <w:drawing>
          <wp:inline distT="0" distB="0" distL="0" distR="0" wp14:anchorId="6F1A27DA" wp14:editId="72610B77">
            <wp:extent cx="4165200" cy="194400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65200" cy="1944000"/>
                    </a:xfrm>
                    <a:prstGeom prst="rect">
                      <a:avLst/>
                    </a:prstGeom>
                  </pic:spPr>
                </pic:pic>
              </a:graphicData>
            </a:graphic>
          </wp:inline>
        </w:drawing>
      </w:r>
    </w:p>
    <w:p w14:paraId="32BBCBAC" w14:textId="73E3730E" w:rsidR="00D06CF7" w:rsidRPr="00622AE0" w:rsidRDefault="007D7B56" w:rsidP="0056199F">
      <w:pPr>
        <w:pStyle w:val="Caption"/>
        <w:jc w:val="both"/>
        <w:rPr>
          <w:color w:val="FF0000"/>
        </w:rPr>
      </w:pPr>
      <w:bookmarkStart w:id="14" w:name="_Ref54171093"/>
      <w:r w:rsidRPr="00622AE0">
        <w:t xml:space="preserve">Figure </w:t>
      </w:r>
      <w:r w:rsidRPr="00622AE0">
        <w:fldChar w:fldCharType="begin"/>
      </w:r>
      <w:r w:rsidRPr="00622AE0">
        <w:instrText xml:space="preserve"> SEQ Figure \* ARABIC </w:instrText>
      </w:r>
      <w:r w:rsidRPr="00622AE0">
        <w:fldChar w:fldCharType="separate"/>
      </w:r>
      <w:r w:rsidR="007E64BA">
        <w:rPr>
          <w:noProof/>
        </w:rPr>
        <w:t>2</w:t>
      </w:r>
      <w:r w:rsidRPr="00622AE0">
        <w:fldChar w:fldCharType="end"/>
      </w:r>
      <w:bookmarkEnd w:id="14"/>
      <w:r w:rsidRPr="00622AE0">
        <w:t xml:space="preserve">: </w:t>
      </w:r>
      <w:r w:rsidR="001908DF" w:rsidRPr="00622AE0">
        <w:t>E</w:t>
      </w:r>
      <w:r w:rsidRPr="00622AE0">
        <w:t>xample</w:t>
      </w:r>
      <w:r w:rsidR="001908DF" w:rsidRPr="00622AE0">
        <w:t>s</w:t>
      </w:r>
      <w:r w:rsidRPr="00622AE0">
        <w:t xml:space="preserve"> of possible strong interference to </w:t>
      </w:r>
      <w:r w:rsidR="00102230">
        <w:rPr>
          <w:lang w:val="en-GB"/>
        </w:rPr>
        <w:t xml:space="preserve">IAB and </w:t>
      </w:r>
      <w:r w:rsidRPr="00622AE0">
        <w:t xml:space="preserve">non-IAB </w:t>
      </w:r>
      <w:r w:rsidR="001908DF" w:rsidRPr="00622AE0">
        <w:t>RAN nodes</w:t>
      </w:r>
      <w:r w:rsidRPr="00622AE0">
        <w:t xml:space="preserve"> by IAB-MT</w:t>
      </w:r>
      <w:r w:rsidR="0072277E" w:rsidRPr="00622AE0">
        <w:t xml:space="preserve"> or IAB-</w:t>
      </w:r>
      <w:r w:rsidRPr="00622AE0">
        <w:t>DU transmission in an UL slot.</w:t>
      </w:r>
    </w:p>
    <w:p w14:paraId="7AAD1D33" w14:textId="77777777" w:rsidR="006403C7" w:rsidRPr="00622AE0" w:rsidRDefault="006403C7" w:rsidP="0056199F">
      <w:pPr>
        <w:jc w:val="both"/>
        <w:rPr>
          <w:color w:val="FF0000"/>
        </w:rPr>
      </w:pPr>
    </w:p>
    <w:p w14:paraId="1EFEB28F" w14:textId="75D9126F" w:rsidR="00B850D2" w:rsidRPr="00622AE0" w:rsidRDefault="00FE3B47" w:rsidP="0056199F">
      <w:pPr>
        <w:jc w:val="both"/>
      </w:pPr>
      <w:r w:rsidRPr="00622AE0">
        <w:t xml:space="preserve">In the following, </w:t>
      </w:r>
      <w:r w:rsidR="0030657A" w:rsidRPr="00622AE0">
        <w:t xml:space="preserve">we study </w:t>
      </w:r>
      <w:r w:rsidR="00C17F10" w:rsidRPr="00622AE0">
        <w:t>different</w:t>
      </w:r>
      <w:r w:rsidRPr="00622AE0">
        <w:t xml:space="preserve"> interference</w:t>
      </w:r>
      <w:r w:rsidR="00C17F10" w:rsidRPr="00622AE0">
        <w:t xml:space="preserve"> </w:t>
      </w:r>
      <w:r w:rsidR="00F024C3" w:rsidRPr="00622AE0">
        <w:t>types</w:t>
      </w:r>
      <w:r w:rsidR="00A1689C" w:rsidRPr="00622AE0">
        <w:t xml:space="preserve"> </w:t>
      </w:r>
      <w:r w:rsidR="00085B34" w:rsidRPr="00622AE0">
        <w:t xml:space="preserve">that an IAB network operation can cause to </w:t>
      </w:r>
      <w:r w:rsidR="005376D9" w:rsidRPr="00622AE0">
        <w:t>neighbor</w:t>
      </w:r>
      <w:r w:rsidR="00085B34" w:rsidRPr="00622AE0">
        <w:t xml:space="preserve"> </w:t>
      </w:r>
      <w:r w:rsidR="00F024C3" w:rsidRPr="00622AE0">
        <w:t>RAN</w:t>
      </w:r>
      <w:r w:rsidR="000B4254" w:rsidRPr="00622AE0">
        <w:t xml:space="preserve"> node</w:t>
      </w:r>
      <w:r w:rsidR="00085B34" w:rsidRPr="00622AE0">
        <w:t>s</w:t>
      </w:r>
      <w:r w:rsidR="0030657A" w:rsidRPr="00622AE0">
        <w:t xml:space="preserve">. </w:t>
      </w:r>
      <w:r w:rsidR="00B850D2" w:rsidRPr="00622AE0">
        <w:t>Below we address the two cases of IAB transmissions in UL and DL</w:t>
      </w:r>
      <w:r w:rsidR="00EE55BE" w:rsidRPr="00622AE0">
        <w:t>,</w:t>
      </w:r>
      <w:r w:rsidR="00B850D2" w:rsidRPr="00622AE0">
        <w:t xml:space="preserve"> respectively.</w:t>
      </w:r>
    </w:p>
    <w:p w14:paraId="0A5B697D" w14:textId="26FFD055" w:rsidR="00B850D2" w:rsidRPr="00622AE0" w:rsidRDefault="005B3FB4" w:rsidP="0056199F">
      <w:pPr>
        <w:pStyle w:val="Heading2"/>
        <w:jc w:val="both"/>
        <w:rPr>
          <w:lang w:val="en-US"/>
        </w:rPr>
      </w:pPr>
      <w:r w:rsidRPr="00622AE0">
        <w:rPr>
          <w:lang w:val="en-US"/>
        </w:rPr>
        <w:lastRenderedPageBreak/>
        <w:t xml:space="preserve">Interference from </w:t>
      </w:r>
      <w:r w:rsidR="00B850D2" w:rsidRPr="00622AE0">
        <w:rPr>
          <w:lang w:val="en-US"/>
        </w:rPr>
        <w:t xml:space="preserve">IAB </w:t>
      </w:r>
      <w:r w:rsidRPr="00622AE0">
        <w:rPr>
          <w:lang w:val="en-US"/>
        </w:rPr>
        <w:t>transmissions</w:t>
      </w:r>
      <w:r w:rsidR="00B850D2" w:rsidRPr="00622AE0">
        <w:rPr>
          <w:lang w:val="en-US"/>
        </w:rPr>
        <w:t xml:space="preserve"> in UL slots</w:t>
      </w:r>
    </w:p>
    <w:p w14:paraId="217D769A" w14:textId="13F68A8C" w:rsidR="00A85CE0" w:rsidRPr="00622AE0" w:rsidRDefault="00051431" w:rsidP="0056199F">
      <w:pPr>
        <w:jc w:val="both"/>
      </w:pPr>
      <w:r w:rsidRPr="00622AE0">
        <w:fldChar w:fldCharType="begin"/>
      </w:r>
      <w:r w:rsidRPr="00622AE0">
        <w:instrText xml:space="preserve"> REF _Ref54171093 \h </w:instrText>
      </w:r>
      <w:r w:rsidR="00600E12" w:rsidRPr="00622AE0">
        <w:instrText xml:space="preserve"> \* MERGEFORMAT </w:instrText>
      </w:r>
      <w:r w:rsidRPr="00622AE0">
        <w:fldChar w:fldCharType="separate"/>
      </w:r>
      <w:r w:rsidR="007E64BA" w:rsidRPr="00622AE0">
        <w:t xml:space="preserve">Figure </w:t>
      </w:r>
      <w:r w:rsidR="007E64BA">
        <w:t>2</w:t>
      </w:r>
      <w:r w:rsidRPr="00622AE0">
        <w:fldChar w:fldCharType="end"/>
      </w:r>
      <w:r w:rsidR="00A35888" w:rsidRPr="00622AE0">
        <w:t xml:space="preserve"> shows example</w:t>
      </w:r>
      <w:r w:rsidR="00085B34" w:rsidRPr="00622AE0">
        <w:t>s</w:t>
      </w:r>
      <w:r w:rsidR="00A35888" w:rsidRPr="00622AE0">
        <w:t xml:space="preserve"> of </w:t>
      </w:r>
      <w:r w:rsidR="00197A74" w:rsidRPr="00622AE0">
        <w:t>possibly</w:t>
      </w:r>
      <w:r w:rsidR="00A35888" w:rsidRPr="00622AE0">
        <w:t xml:space="preserve"> strong interference</w:t>
      </w:r>
      <w:r w:rsidR="001D0621" w:rsidRPr="00622AE0">
        <w:t xml:space="preserve"> types</w:t>
      </w:r>
      <w:r w:rsidR="00A35888" w:rsidRPr="00622AE0">
        <w:t xml:space="preserve"> in case</w:t>
      </w:r>
      <w:r w:rsidR="007969FD" w:rsidRPr="00622AE0">
        <w:t xml:space="preserve"> an IAB</w:t>
      </w:r>
      <w:r w:rsidR="006403C7" w:rsidRPr="00622AE0">
        <w:t>-</w:t>
      </w:r>
      <w:r w:rsidR="007969FD" w:rsidRPr="00622AE0">
        <w:t>node</w:t>
      </w:r>
      <w:r w:rsidR="00356166" w:rsidRPr="00622AE0">
        <w:t xml:space="preserve"> transmi</w:t>
      </w:r>
      <w:r w:rsidR="001D0621" w:rsidRPr="00622AE0">
        <w:t>ts</w:t>
      </w:r>
      <w:r w:rsidR="00356166" w:rsidRPr="00622AE0">
        <w:t xml:space="preserve"> </w:t>
      </w:r>
      <w:r w:rsidR="0051411C" w:rsidRPr="00622AE0">
        <w:t>in an UL time slot</w:t>
      </w:r>
      <w:r w:rsidR="00A35888" w:rsidRPr="00622AE0">
        <w:t xml:space="preserve">. </w:t>
      </w:r>
      <w:r w:rsidR="001A05A6" w:rsidRPr="00622AE0">
        <w:t xml:space="preserve">As can be seen in these examples, any IAB transmission competing </w:t>
      </w:r>
      <w:r w:rsidR="00B50E71" w:rsidRPr="00622AE0">
        <w:t xml:space="preserve">with a UE transmission </w:t>
      </w:r>
      <w:r w:rsidR="00C247F2" w:rsidRPr="00622AE0">
        <w:t xml:space="preserve">in an UL slot </w:t>
      </w:r>
      <w:r w:rsidR="000B4254" w:rsidRPr="00622AE0">
        <w:t>can</w:t>
      </w:r>
      <w:r w:rsidR="00C247F2" w:rsidRPr="00622AE0">
        <w:t xml:space="preserve"> have </w:t>
      </w:r>
      <w:r w:rsidR="00C73085" w:rsidRPr="00622AE0">
        <w:t>severe</w:t>
      </w:r>
      <w:r w:rsidR="00C247F2" w:rsidRPr="00622AE0">
        <w:t xml:space="preserve"> impact on the </w:t>
      </w:r>
      <w:r w:rsidR="00A85CE0" w:rsidRPr="00622AE0">
        <w:t xml:space="preserve">performance of the UEs </w:t>
      </w:r>
      <w:r w:rsidR="00334FCC" w:rsidRPr="00622AE0">
        <w:t xml:space="preserve">both </w:t>
      </w:r>
      <w:r w:rsidR="00657A8C" w:rsidRPr="00622AE0">
        <w:t xml:space="preserve">inside </w:t>
      </w:r>
      <w:r w:rsidR="00657A8C" w:rsidRPr="00622AE0">
        <w:rPr>
          <w:i/>
        </w:rPr>
        <w:t xml:space="preserve">and </w:t>
      </w:r>
      <w:r w:rsidR="00A85CE0" w:rsidRPr="00622AE0">
        <w:rPr>
          <w:i/>
        </w:rPr>
        <w:t>outside</w:t>
      </w:r>
      <w:r w:rsidR="00A85CE0" w:rsidRPr="00622AE0">
        <w:t xml:space="preserve"> the IAB network. </w:t>
      </w:r>
      <w:r w:rsidR="005618F4" w:rsidRPr="00622AE0">
        <w:t xml:space="preserve">For instance, </w:t>
      </w:r>
      <w:r w:rsidR="00975EE8" w:rsidRPr="00622AE0">
        <w:t>with a</w:t>
      </w:r>
      <w:r w:rsidR="00C32337" w:rsidRPr="00622AE0">
        <w:t>n</w:t>
      </w:r>
      <w:r w:rsidR="00975EE8" w:rsidRPr="00622AE0">
        <w:t xml:space="preserve"> upstream transmission of IAB-MT to the parent </w:t>
      </w:r>
      <w:r w:rsidR="00C32337" w:rsidRPr="00622AE0">
        <w:t>IAB-</w:t>
      </w:r>
      <w:r w:rsidR="00975EE8" w:rsidRPr="00622AE0">
        <w:t xml:space="preserve">DU in an UL slot, there is a </w:t>
      </w:r>
      <w:r w:rsidRPr="00622AE0">
        <w:t>risk</w:t>
      </w:r>
      <w:r w:rsidR="00975EE8" w:rsidRPr="00622AE0">
        <w:t xml:space="preserve"> that the signal transmitted by a UE to a neighbor gNB (or, the parent </w:t>
      </w:r>
      <w:r w:rsidR="007D152A" w:rsidRPr="00622AE0">
        <w:t>IAB-</w:t>
      </w:r>
      <w:r w:rsidR="00975EE8" w:rsidRPr="00622AE0">
        <w:t xml:space="preserve">DU itself) will be highly </w:t>
      </w:r>
      <w:r w:rsidR="00980E29" w:rsidRPr="00622AE0">
        <w:t xml:space="preserve">affected by </w:t>
      </w:r>
      <w:r w:rsidR="00975EE8" w:rsidRPr="00622AE0">
        <w:t>interference</w:t>
      </w:r>
      <w:r w:rsidR="000D2598">
        <w:t xml:space="preserve"> as shown in the </w:t>
      </w:r>
      <w:r w:rsidR="004609D2" w:rsidRPr="00622AE0">
        <w:t>left side of</w:t>
      </w:r>
      <w:r w:rsidR="00F710F8" w:rsidRPr="00622AE0">
        <w:t xml:space="preserve"> </w:t>
      </w:r>
      <w:r w:rsidR="004609D2" w:rsidRPr="00622AE0">
        <w:t>Figure 2</w:t>
      </w:r>
      <w:r w:rsidR="00975EE8" w:rsidRPr="00622AE0">
        <w:t>. This is due to considerably higher transmit power of the IAB-MT compared a UE</w:t>
      </w:r>
      <w:r w:rsidR="004609D2" w:rsidRPr="00622AE0">
        <w:t xml:space="preserve"> and possibly reduced transmit dynamic range</w:t>
      </w:r>
      <w:r w:rsidR="00975EE8" w:rsidRPr="00622AE0">
        <w:t>.</w:t>
      </w:r>
      <w:r w:rsidR="00F710F8" w:rsidRPr="00622AE0">
        <w:t xml:space="preserve"> </w:t>
      </w:r>
      <w:r w:rsidR="15D498E3" w:rsidRPr="00622AE0">
        <w:t>Similarly</w:t>
      </w:r>
      <w:r w:rsidR="00F710F8" w:rsidRPr="00622AE0">
        <w:t>, severe interference due to, e.g., IAB-DU transmissions in UL slots can be expected</w:t>
      </w:r>
      <w:r w:rsidR="002F6765" w:rsidRPr="00622AE0">
        <w:t xml:space="preserve">, </w:t>
      </w:r>
      <w:r w:rsidR="000D2598">
        <w:t xml:space="preserve">as presented in the </w:t>
      </w:r>
      <w:r w:rsidR="00BC23EC" w:rsidRPr="00622AE0">
        <w:t>right side of Figure 2</w:t>
      </w:r>
      <w:r w:rsidR="00BC2CCC" w:rsidRPr="00622AE0">
        <w:t>.</w:t>
      </w:r>
      <w:r w:rsidR="00975EE8" w:rsidRPr="00622AE0">
        <w:t xml:space="preserve"> </w:t>
      </w:r>
      <w:r w:rsidR="007D152A" w:rsidRPr="00622AE0">
        <w:t xml:space="preserve">Here, the </w:t>
      </w:r>
      <w:r w:rsidR="00975EE8" w:rsidRPr="00622AE0">
        <w:t xml:space="preserve">most obvious victims can be found in the non-IAB part of the network (operating on the same carrier frequency) where the IAB-nodes are deployed. </w:t>
      </w:r>
      <w:r w:rsidR="002D7304" w:rsidRPr="00622AE0">
        <w:t>However, the v</w:t>
      </w:r>
      <w:r w:rsidR="00975EE8" w:rsidRPr="00622AE0">
        <w:t xml:space="preserve">ictims of interference outside the IAB network are </w:t>
      </w:r>
      <w:r w:rsidR="002D7304" w:rsidRPr="00622AE0">
        <w:t xml:space="preserve">also the </w:t>
      </w:r>
      <w:r w:rsidR="00975EE8" w:rsidRPr="00622AE0">
        <w:t xml:space="preserve">networks on adjacent (or nearby) spectrum to that used by the IAB network since adjacent networks </w:t>
      </w:r>
      <w:r w:rsidR="00BC23EC" w:rsidRPr="00622AE0">
        <w:t xml:space="preserve">would </w:t>
      </w:r>
      <w:r w:rsidR="00975EE8" w:rsidRPr="00622AE0">
        <w:t xml:space="preserve">typically </w:t>
      </w:r>
      <w:r w:rsidR="00BC23EC" w:rsidRPr="00622AE0">
        <w:t xml:space="preserve">have a </w:t>
      </w:r>
      <w:r w:rsidR="00975EE8" w:rsidRPr="00622AE0">
        <w:t>coordinate</w:t>
      </w:r>
      <w:r w:rsidR="00BC23EC" w:rsidRPr="00622AE0">
        <w:t>d</w:t>
      </w:r>
      <w:r w:rsidR="00975EE8" w:rsidRPr="00622AE0">
        <w:t xml:space="preserve"> UL/DL</w:t>
      </w:r>
      <w:r w:rsidR="00BC23EC" w:rsidRPr="00622AE0">
        <w:t xml:space="preserve"> TDD pattern</w:t>
      </w:r>
      <w:r w:rsidR="00975EE8" w:rsidRPr="00622AE0">
        <w:t>.</w:t>
      </w:r>
    </w:p>
    <w:p w14:paraId="2807DBF1" w14:textId="65474E49" w:rsidR="00B60DE5" w:rsidRPr="00622AE0" w:rsidRDefault="00F26B37" w:rsidP="0056199F">
      <w:pPr>
        <w:jc w:val="both"/>
      </w:pPr>
      <w:r w:rsidRPr="00622AE0">
        <w:t xml:space="preserve">It should be noted that the interference arising from a substantially stronger signal </w:t>
      </w:r>
      <w:proofErr w:type="spellStart"/>
      <w:r w:rsidR="002F328E">
        <w:t>superpositioned</w:t>
      </w:r>
      <w:proofErr w:type="spellEnd"/>
      <w:r w:rsidR="002F328E">
        <w:t xml:space="preserve"> o</w:t>
      </w:r>
      <w:r w:rsidR="00197A74" w:rsidRPr="00622AE0">
        <w:t xml:space="preserve">nto a weaker UE signal </w:t>
      </w:r>
      <w:r w:rsidRPr="00622AE0">
        <w:t>may not only be manifested as a reduced MCS. Due to the large differences in transmit power, it may be that the dynamic range of the receiv</w:t>
      </w:r>
      <w:r w:rsidR="00197A74" w:rsidRPr="00622AE0">
        <w:t>ing</w:t>
      </w:r>
      <w:r w:rsidRPr="00622AE0">
        <w:t xml:space="preserve"> node is not able to resolve both signals. In this case, </w:t>
      </w:r>
      <w:r w:rsidR="000D3355" w:rsidRPr="00622AE0">
        <w:t xml:space="preserve">it will not be possible to at all detect </w:t>
      </w:r>
      <w:r w:rsidRPr="00622AE0">
        <w:t>the weaker UE which may have consequences</w:t>
      </w:r>
      <w:r w:rsidR="00F31E48" w:rsidRPr="00622AE0">
        <w:t>, e.g., for the UE to perform random access or other fundamental operations.</w:t>
      </w:r>
    </w:p>
    <w:p w14:paraId="7928E531" w14:textId="76AB7469" w:rsidR="00211319" w:rsidRPr="00622AE0" w:rsidRDefault="00197A74" w:rsidP="0056199F">
      <w:pPr>
        <w:pStyle w:val="Observation"/>
        <w:ind w:left="1701" w:hanging="1701"/>
        <w:jc w:val="both"/>
      </w:pPr>
      <w:r w:rsidRPr="00622AE0">
        <w:tab/>
      </w:r>
      <w:bookmarkStart w:id="15" w:name="_Toc54383645"/>
      <w:r w:rsidR="007E64BA">
        <w:t>IAB-node</w:t>
      </w:r>
      <w:r w:rsidRPr="00622AE0">
        <w:t>s transmitting in UL slots may jeopardize fundamental network functions on both the same and adjacent carriers.</w:t>
      </w:r>
      <w:bookmarkEnd w:id="15"/>
    </w:p>
    <w:p w14:paraId="257AEE18" w14:textId="3CAFBE70" w:rsidR="000C30A9" w:rsidRPr="00622AE0" w:rsidRDefault="000C30A9" w:rsidP="0056199F">
      <w:pPr>
        <w:keepNext/>
        <w:jc w:val="both"/>
      </w:pPr>
    </w:p>
    <w:p w14:paraId="37AB7B32" w14:textId="5D9C3F53" w:rsidR="00C924F3" w:rsidRPr="00631EC7" w:rsidRDefault="00C924F3" w:rsidP="0056199F">
      <w:pPr>
        <w:keepNext/>
        <w:jc w:val="center"/>
      </w:pPr>
      <w:r w:rsidRPr="00C924F3">
        <w:rPr>
          <w:noProof/>
        </w:rPr>
        <w:drawing>
          <wp:inline distT="0" distB="0" distL="0" distR="0" wp14:anchorId="4E36311D" wp14:editId="7CF7966A">
            <wp:extent cx="4165200" cy="19440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65200" cy="1944000"/>
                    </a:xfrm>
                    <a:prstGeom prst="rect">
                      <a:avLst/>
                    </a:prstGeom>
                  </pic:spPr>
                </pic:pic>
              </a:graphicData>
            </a:graphic>
          </wp:inline>
        </w:drawing>
      </w:r>
    </w:p>
    <w:p w14:paraId="0F73AE84" w14:textId="04D19269" w:rsidR="00BC3BEA" w:rsidRPr="00622AE0" w:rsidRDefault="000C30A9" w:rsidP="0056199F">
      <w:pPr>
        <w:pStyle w:val="Caption"/>
        <w:jc w:val="both"/>
      </w:pPr>
      <w:bookmarkStart w:id="16" w:name="_Ref54172263"/>
      <w:r w:rsidRPr="00622AE0">
        <w:t xml:space="preserve">Figure </w:t>
      </w:r>
      <w:r w:rsidRPr="00622AE0">
        <w:fldChar w:fldCharType="begin"/>
      </w:r>
      <w:r w:rsidRPr="00622AE0">
        <w:instrText xml:space="preserve"> SEQ Figure \* ARABIC </w:instrText>
      </w:r>
      <w:r w:rsidRPr="00622AE0">
        <w:fldChar w:fldCharType="separate"/>
      </w:r>
      <w:r w:rsidR="007E64BA">
        <w:rPr>
          <w:noProof/>
        </w:rPr>
        <w:t>3</w:t>
      </w:r>
      <w:r w:rsidRPr="00622AE0">
        <w:fldChar w:fldCharType="end"/>
      </w:r>
      <w:bookmarkEnd w:id="16"/>
      <w:r w:rsidRPr="00622AE0">
        <w:t xml:space="preserve">: Examples of typical </w:t>
      </w:r>
      <w:r w:rsidR="00102230" w:rsidRPr="00102230">
        <w:rPr>
          <w:lang w:val="en-GB"/>
        </w:rPr>
        <w:t>interference</w:t>
      </w:r>
      <w:r w:rsidRPr="00622AE0">
        <w:t xml:space="preserve"> by </w:t>
      </w:r>
      <w:r w:rsidR="00102230" w:rsidRPr="00102230">
        <w:rPr>
          <w:lang w:val="en-GB"/>
        </w:rPr>
        <w:t xml:space="preserve">IAB-MT or IAB-DU </w:t>
      </w:r>
      <w:r w:rsidRPr="00622AE0">
        <w:t xml:space="preserve">transmission in </w:t>
      </w:r>
      <w:r w:rsidR="00102230" w:rsidRPr="00102230">
        <w:rPr>
          <w:lang w:val="en-GB"/>
        </w:rPr>
        <w:t>a</w:t>
      </w:r>
      <w:r w:rsidRPr="00622AE0">
        <w:t xml:space="preserve"> DL slot.</w:t>
      </w:r>
    </w:p>
    <w:p w14:paraId="77A8E513" w14:textId="469C2340" w:rsidR="005B3FB4" w:rsidRPr="00622AE0" w:rsidRDefault="005B3FB4" w:rsidP="0056199F">
      <w:pPr>
        <w:pStyle w:val="Heading2"/>
        <w:jc w:val="both"/>
        <w:rPr>
          <w:lang w:val="en-US"/>
        </w:rPr>
      </w:pPr>
      <w:r w:rsidRPr="00622AE0">
        <w:rPr>
          <w:lang w:val="en-US"/>
        </w:rPr>
        <w:t>Interference from IAB transmissions in DL slots</w:t>
      </w:r>
    </w:p>
    <w:p w14:paraId="34B5D12C" w14:textId="295B22F8" w:rsidR="00D77982" w:rsidRPr="00622AE0" w:rsidRDefault="005B3FB4" w:rsidP="0056199F">
      <w:pPr>
        <w:jc w:val="both"/>
      </w:pPr>
      <w:r w:rsidRPr="00622AE0">
        <w:t>W</w:t>
      </w:r>
      <w:r w:rsidR="00F64808" w:rsidRPr="00622AE0">
        <w:t xml:space="preserve">ith </w:t>
      </w:r>
      <w:r w:rsidR="00974D6F">
        <w:t>IAB-node</w:t>
      </w:r>
      <w:r w:rsidR="00F64808" w:rsidRPr="00622AE0">
        <w:t xml:space="preserve">s </w:t>
      </w:r>
      <w:r w:rsidR="008E5AB1" w:rsidRPr="00622AE0">
        <w:t>transmitting</w:t>
      </w:r>
      <w:r w:rsidR="00F64808" w:rsidRPr="00622AE0">
        <w:t xml:space="preserve"> in DL slots</w:t>
      </w:r>
      <w:r w:rsidR="00967212" w:rsidRPr="00622AE0">
        <w:t xml:space="preserve"> (see </w:t>
      </w:r>
      <w:r w:rsidR="00B60F74" w:rsidRPr="00622AE0">
        <w:fldChar w:fldCharType="begin"/>
      </w:r>
      <w:r w:rsidR="00B60F74" w:rsidRPr="00622AE0">
        <w:instrText xml:space="preserve"> REF _Ref54172263 \h </w:instrText>
      </w:r>
      <w:r w:rsidR="00600E12" w:rsidRPr="00622AE0">
        <w:instrText xml:space="preserve"> \* MERGEFORMAT </w:instrText>
      </w:r>
      <w:r w:rsidR="00B60F74" w:rsidRPr="00622AE0">
        <w:fldChar w:fldCharType="separate"/>
      </w:r>
      <w:r w:rsidR="007E64BA" w:rsidRPr="00622AE0">
        <w:t xml:space="preserve">Figure </w:t>
      </w:r>
      <w:r w:rsidR="007E64BA">
        <w:t>3</w:t>
      </w:r>
      <w:r w:rsidR="00B60F74" w:rsidRPr="00622AE0">
        <w:fldChar w:fldCharType="end"/>
      </w:r>
      <w:r w:rsidR="00967212" w:rsidRPr="00622AE0">
        <w:t xml:space="preserve"> for different examples)</w:t>
      </w:r>
      <w:r w:rsidR="00B17CD9" w:rsidRPr="00622AE0">
        <w:t xml:space="preserve"> </w:t>
      </w:r>
      <w:r w:rsidR="00991505" w:rsidRPr="00622AE0">
        <w:t xml:space="preserve">any </w:t>
      </w:r>
      <w:r w:rsidR="00A232ED" w:rsidRPr="00622AE0">
        <w:t>RAN node</w:t>
      </w:r>
      <w:r w:rsidR="00EB22A9" w:rsidRPr="00622AE0">
        <w:t xml:space="preserve"> or</w:t>
      </w:r>
      <w:r w:rsidR="00B17CD9" w:rsidRPr="00622AE0">
        <w:t xml:space="preserve"> </w:t>
      </w:r>
      <w:r w:rsidR="00D56214" w:rsidRPr="00622AE0">
        <w:t>UEs served by</w:t>
      </w:r>
      <w:r w:rsidR="008A6837" w:rsidRPr="00622AE0">
        <w:t xml:space="preserve">, e.g., </w:t>
      </w:r>
      <w:r w:rsidR="004C12F4" w:rsidRPr="00622AE0">
        <w:t xml:space="preserve">a </w:t>
      </w:r>
      <w:r w:rsidR="008A6837" w:rsidRPr="00622AE0">
        <w:t xml:space="preserve">gNB outside the IAB network will experience </w:t>
      </w:r>
      <w:r w:rsidR="00BC3BEA" w:rsidRPr="00622AE0">
        <w:t>“</w:t>
      </w:r>
      <w:r w:rsidR="008A6837" w:rsidRPr="00622AE0">
        <w:t>typical</w:t>
      </w:r>
      <w:r w:rsidR="00BC3BEA" w:rsidRPr="00622AE0">
        <w:t>”</w:t>
      </w:r>
      <w:r w:rsidR="008A6837" w:rsidRPr="00622AE0">
        <w:t xml:space="preserve"> interference, in the sense that </w:t>
      </w:r>
      <w:r w:rsidR="008801C6" w:rsidRPr="00622AE0">
        <w:t xml:space="preserve">the transmission of an </w:t>
      </w:r>
      <w:r w:rsidR="00974D6F">
        <w:t>IAB-node</w:t>
      </w:r>
      <w:r w:rsidR="008801C6" w:rsidRPr="00622AE0">
        <w:t xml:space="preserve"> during </w:t>
      </w:r>
      <w:r w:rsidR="001D2BC8" w:rsidRPr="00622AE0">
        <w:t>the DL parts of the TDD pattern appear</w:t>
      </w:r>
      <w:r w:rsidR="00F1012C" w:rsidRPr="00622AE0">
        <w:t>s</w:t>
      </w:r>
      <w:r w:rsidR="001D2BC8" w:rsidRPr="00622AE0">
        <w:t xml:space="preserve"> like a </w:t>
      </w:r>
      <w:r w:rsidR="00B60F74" w:rsidRPr="00622AE0">
        <w:t xml:space="preserve">transmission from a typical </w:t>
      </w:r>
      <w:r w:rsidR="001D2BC8" w:rsidRPr="00622AE0">
        <w:t xml:space="preserve">RAN node transmitting during DL slots (which we observe as standard operation). Any interference due to such a transmission can be </w:t>
      </w:r>
      <w:r w:rsidR="009504D8" w:rsidRPr="00622AE0">
        <w:t>considered</w:t>
      </w:r>
      <w:r w:rsidR="001D2BC8" w:rsidRPr="00622AE0">
        <w:t xml:space="preserve"> of no different nature than other DL transmissions, for which there are deployment requirements or recommendations to control the negative effects</w:t>
      </w:r>
      <w:r w:rsidR="00A93F64" w:rsidRPr="00622AE0">
        <w:t xml:space="preserve">. </w:t>
      </w:r>
      <w:r w:rsidR="00CF0CE3" w:rsidRPr="00622AE0">
        <w:t xml:space="preserve">Note that, such an argument </w:t>
      </w:r>
      <w:r w:rsidR="00EE4B5A" w:rsidRPr="00622AE0">
        <w:t>holds not only for</w:t>
      </w:r>
      <w:r w:rsidR="00EE4B5A" w:rsidRPr="00622AE0" w:rsidDel="009504D8">
        <w:t xml:space="preserve"> </w:t>
      </w:r>
      <w:r w:rsidR="00E32053" w:rsidRPr="00622AE0">
        <w:t xml:space="preserve">wide-area </w:t>
      </w:r>
      <w:r w:rsidR="00974D6F">
        <w:t>IAB-node</w:t>
      </w:r>
      <w:r w:rsidR="00E32053" w:rsidRPr="00622AE0">
        <w:t>s but also for</w:t>
      </w:r>
      <w:r w:rsidR="00E32053" w:rsidRPr="00622AE0" w:rsidDel="009504D8">
        <w:t xml:space="preserve"> </w:t>
      </w:r>
      <w:r w:rsidR="001E5C20" w:rsidRPr="00622AE0">
        <w:t xml:space="preserve">local-area </w:t>
      </w:r>
      <w:r w:rsidR="00974D6F">
        <w:t>IAB-node</w:t>
      </w:r>
      <w:r w:rsidR="00E32053" w:rsidRPr="00622AE0">
        <w:t>s</w:t>
      </w:r>
      <w:r w:rsidR="009504D8" w:rsidRPr="00622AE0">
        <w:t>. This is</w:t>
      </w:r>
      <w:r w:rsidR="001E5C20" w:rsidRPr="00622AE0">
        <w:t xml:space="preserve"> because </w:t>
      </w:r>
      <w:r w:rsidR="008E1F62" w:rsidRPr="00622AE0">
        <w:t xml:space="preserve">the transmission capabilities, e.g., </w:t>
      </w:r>
      <w:r w:rsidR="009504D8" w:rsidRPr="00622AE0">
        <w:t xml:space="preserve">transmit </w:t>
      </w:r>
      <w:r w:rsidR="008E1F62" w:rsidRPr="00622AE0">
        <w:t>power, of a</w:t>
      </w:r>
      <w:r w:rsidR="003021D6" w:rsidRPr="00622AE0">
        <w:t xml:space="preserve"> local-area</w:t>
      </w:r>
      <w:r w:rsidR="008E1F62" w:rsidRPr="00622AE0">
        <w:t xml:space="preserve"> IAB</w:t>
      </w:r>
      <w:r w:rsidR="00F1012C" w:rsidRPr="00622AE0">
        <w:t>-</w:t>
      </w:r>
      <w:r w:rsidR="008E1F62" w:rsidRPr="00622AE0">
        <w:t xml:space="preserve">node may </w:t>
      </w:r>
      <w:r w:rsidR="008F2512" w:rsidRPr="00622AE0">
        <w:t>range between a UE to a wide-area IAB</w:t>
      </w:r>
      <w:r w:rsidR="003021D6" w:rsidRPr="00622AE0">
        <w:t>,</w:t>
      </w:r>
      <w:r w:rsidR="00A03D2B" w:rsidRPr="00622AE0">
        <w:t xml:space="preserve"> and </w:t>
      </w:r>
      <w:r w:rsidR="00A03D2B" w:rsidRPr="00622AE0">
        <w:lastRenderedPageBreak/>
        <w:t xml:space="preserve">the coverage of </w:t>
      </w:r>
      <w:r w:rsidR="003508ED" w:rsidRPr="00622AE0">
        <w:t>t</w:t>
      </w:r>
      <w:r w:rsidR="00866986" w:rsidRPr="00622AE0">
        <w:t>h</w:t>
      </w:r>
      <w:r w:rsidR="003508ED" w:rsidRPr="00622AE0">
        <w:t>e</w:t>
      </w:r>
      <w:r w:rsidR="00A03D2B" w:rsidRPr="00622AE0">
        <w:t xml:space="preserve"> node </w:t>
      </w:r>
      <w:r w:rsidR="003D32C6" w:rsidRPr="00622AE0">
        <w:t xml:space="preserve">will vary accordingly. Hence, </w:t>
      </w:r>
      <w:r w:rsidR="009A3095" w:rsidRPr="00622AE0">
        <w:t xml:space="preserve">within the coverage area of a node the </w:t>
      </w:r>
      <w:r w:rsidR="003D32C6" w:rsidRPr="00622AE0">
        <w:t>interference</w:t>
      </w:r>
      <w:r w:rsidR="009A3095" w:rsidRPr="00622AE0">
        <w:t xml:space="preserve"> </w:t>
      </w:r>
      <w:r w:rsidR="003B3CD4" w:rsidRPr="00622AE0">
        <w:t>from</w:t>
      </w:r>
      <w:r w:rsidR="009A3095" w:rsidRPr="00622AE0">
        <w:t xml:space="preserve"> </w:t>
      </w:r>
      <w:r w:rsidR="003508ED" w:rsidRPr="00622AE0">
        <w:t>a typical</w:t>
      </w:r>
      <w:r w:rsidR="00440327" w:rsidRPr="00622AE0">
        <w:t xml:space="preserve"> IAB</w:t>
      </w:r>
      <w:r w:rsidR="00F1012C" w:rsidRPr="00622AE0">
        <w:t>-</w:t>
      </w:r>
      <w:r w:rsidR="009A3095" w:rsidRPr="00622AE0">
        <w:t>node</w:t>
      </w:r>
      <w:r w:rsidR="00440327" w:rsidRPr="00622AE0">
        <w:t xml:space="preserve"> will be </w:t>
      </w:r>
      <w:r w:rsidR="003D32C6" w:rsidRPr="00622AE0">
        <w:t>similar</w:t>
      </w:r>
      <w:r w:rsidR="00440327" w:rsidRPr="00622AE0">
        <w:t>.</w:t>
      </w:r>
    </w:p>
    <w:p w14:paraId="3E265349" w14:textId="660F26B0" w:rsidR="00197A74" w:rsidRPr="00622AE0" w:rsidRDefault="00197A74" w:rsidP="0056199F">
      <w:pPr>
        <w:pStyle w:val="Observation"/>
        <w:ind w:left="1701" w:hanging="1701"/>
        <w:jc w:val="both"/>
      </w:pPr>
      <w:r w:rsidRPr="00622AE0">
        <w:tab/>
      </w:r>
      <w:bookmarkStart w:id="17" w:name="_Toc54383646"/>
      <w:r w:rsidR="00974D6F">
        <w:t>IAB-node</w:t>
      </w:r>
      <w:r w:rsidRPr="00622AE0">
        <w:t>s transmitting in DL slots will mostly limit interference to within the IAB network.</w:t>
      </w:r>
      <w:bookmarkEnd w:id="17"/>
    </w:p>
    <w:p w14:paraId="0CD17B44" w14:textId="6DB65B76" w:rsidR="00A46629" w:rsidRPr="005376D9" w:rsidRDefault="00B86DC9" w:rsidP="0056199F">
      <w:pPr>
        <w:pStyle w:val="BodyText"/>
        <w:jc w:val="both"/>
      </w:pPr>
      <w:r w:rsidRPr="00622AE0">
        <w:t>The above discussion and observations lead us to the following proposal:</w:t>
      </w:r>
    </w:p>
    <w:p w14:paraId="157957AF" w14:textId="798D8407" w:rsidR="00D77982" w:rsidRPr="005376D9" w:rsidRDefault="006477E7" w:rsidP="0056199F">
      <w:pPr>
        <w:pStyle w:val="Proposal"/>
        <w:jc w:val="both"/>
        <w:rPr>
          <w:lang w:eastAsia="sv-SE"/>
        </w:rPr>
      </w:pPr>
      <w:bookmarkStart w:id="18" w:name="_Toc54383653"/>
      <w:r w:rsidRPr="00622AE0">
        <w:rPr>
          <w:lang w:eastAsia="sv-SE"/>
        </w:rPr>
        <w:t xml:space="preserve">Limit </w:t>
      </w:r>
      <w:r w:rsidR="00974D6F">
        <w:rPr>
          <w:lang w:eastAsia="sv-SE"/>
        </w:rPr>
        <w:t>IAB-node</w:t>
      </w:r>
      <w:r w:rsidR="000A4962" w:rsidRPr="00622AE0">
        <w:rPr>
          <w:lang w:eastAsia="sv-SE"/>
        </w:rPr>
        <w:t xml:space="preserve"> </w:t>
      </w:r>
      <w:r w:rsidRPr="00622AE0">
        <w:rPr>
          <w:lang w:eastAsia="sv-SE"/>
        </w:rPr>
        <w:t>transmissions to DL slots.</w:t>
      </w:r>
      <w:bookmarkEnd w:id="18"/>
    </w:p>
    <w:p w14:paraId="1D454557" w14:textId="26BD4D33" w:rsidR="00D77982" w:rsidRPr="00622AE0" w:rsidRDefault="006477E7" w:rsidP="0056199F">
      <w:pPr>
        <w:pStyle w:val="BodyText"/>
        <w:jc w:val="both"/>
      </w:pPr>
      <w:r w:rsidRPr="00622AE0">
        <w:t xml:space="preserve">Interestingly, </w:t>
      </w:r>
      <w:r w:rsidR="00292CA1" w:rsidRPr="00622AE0">
        <w:t xml:space="preserve">such a </w:t>
      </w:r>
      <w:r w:rsidR="00C72D31" w:rsidRPr="00622AE0">
        <w:t>setup with IAB transmission limited to DL transmission</w:t>
      </w:r>
      <w:r w:rsidR="0081417E" w:rsidRPr="00622AE0">
        <w:t xml:space="preserve"> falls back to Scenario 2 </w:t>
      </w:r>
      <w:r w:rsidR="00B86DC9" w:rsidRPr="00622AE0">
        <w:t xml:space="preserve">as </w:t>
      </w:r>
      <w:r w:rsidR="0081417E" w:rsidRPr="00622AE0">
        <w:t xml:space="preserve">defined </w:t>
      </w:r>
      <w:r w:rsidR="00B86DC9" w:rsidRPr="00622AE0">
        <w:t>by</w:t>
      </w:r>
      <w:r w:rsidR="0081417E" w:rsidRPr="00622AE0">
        <w:t xml:space="preserve"> RAN4</w:t>
      </w:r>
      <w:r w:rsidR="008D13BB" w:rsidRPr="00622AE0">
        <w:t xml:space="preserve"> (</w:t>
      </w:r>
      <w:r w:rsidR="00F1012C" w:rsidRPr="00622AE0">
        <w:t>s</w:t>
      </w:r>
      <w:r w:rsidR="008D13BB" w:rsidRPr="00622AE0">
        <w:t xml:space="preserve">ee </w:t>
      </w:r>
      <w:r w:rsidR="00990B32" w:rsidRPr="00622AE0">
        <w:rPr>
          <w:bCs/>
        </w:rPr>
        <w:t>[</w:t>
      </w:r>
      <w:r w:rsidR="00AC35FE" w:rsidRPr="00622AE0">
        <w:t>5</w:t>
      </w:r>
      <w:r w:rsidR="00990B32" w:rsidRPr="00622AE0">
        <w:t>]</w:t>
      </w:r>
      <w:r w:rsidR="008D13BB" w:rsidRPr="00622AE0">
        <w:t xml:space="preserve">). Therefore, we propose </w:t>
      </w:r>
      <w:r w:rsidR="00F1012C" w:rsidRPr="00622AE0">
        <w:t xml:space="preserve">further </w:t>
      </w:r>
      <w:r w:rsidR="008D13BB" w:rsidRPr="00622AE0">
        <w:t>to</w:t>
      </w:r>
      <w:r w:rsidR="00E95847" w:rsidRPr="00622AE0">
        <w:t xml:space="preserve"> adopt Scenario</w:t>
      </w:r>
      <w:r w:rsidR="00337564" w:rsidRPr="00622AE0">
        <w:t xml:space="preserve"> 2</w:t>
      </w:r>
      <w:r w:rsidR="00E95847" w:rsidRPr="00622AE0">
        <w:t xml:space="preserve"> for Rel-17.</w:t>
      </w:r>
    </w:p>
    <w:p w14:paraId="2F6A2EC1" w14:textId="7633158E" w:rsidR="000907EB" w:rsidRPr="00622AE0" w:rsidRDefault="005830F9" w:rsidP="0056199F">
      <w:pPr>
        <w:pStyle w:val="Proposal"/>
        <w:jc w:val="both"/>
        <w:rPr>
          <w:lang w:eastAsia="sv-SE"/>
        </w:rPr>
      </w:pPr>
      <w:bookmarkStart w:id="19" w:name="_Toc54383654"/>
      <w:r w:rsidRPr="00622AE0">
        <w:rPr>
          <w:lang w:eastAsia="sv-SE"/>
        </w:rPr>
        <w:t>Adopt RAN4’s Scenario 2 for Rel-17.</w:t>
      </w:r>
      <w:bookmarkEnd w:id="19"/>
    </w:p>
    <w:p w14:paraId="518CD4E3" w14:textId="2CB913E5" w:rsidR="004000E8" w:rsidRPr="00622AE0" w:rsidRDefault="0016655A" w:rsidP="0056199F">
      <w:pPr>
        <w:pStyle w:val="Heading1"/>
        <w:jc w:val="both"/>
        <w:rPr>
          <w:lang w:val="en-US"/>
        </w:rPr>
      </w:pPr>
      <w:r w:rsidRPr="00622AE0">
        <w:rPr>
          <w:lang w:val="en-US"/>
        </w:rPr>
        <w:t>Power control</w:t>
      </w:r>
    </w:p>
    <w:p w14:paraId="711C1CD5" w14:textId="4D4F70AE" w:rsidR="004E2C13" w:rsidRPr="00622AE0" w:rsidRDefault="004E2C13" w:rsidP="0056199F">
      <w:pPr>
        <w:jc w:val="both"/>
        <w:rPr>
          <w:lang w:eastAsia="ja-JP"/>
        </w:rPr>
      </w:pPr>
      <w:r w:rsidRPr="00622AE0">
        <w:rPr>
          <w:lang w:eastAsia="ja-JP"/>
        </w:rPr>
        <w:t xml:space="preserve">The discussion about power control can be divided into the more </w:t>
      </w:r>
      <w:r w:rsidR="00EC478D">
        <w:rPr>
          <w:lang w:eastAsia="ja-JP"/>
        </w:rPr>
        <w:t>common</w:t>
      </w:r>
      <w:r w:rsidRPr="00622AE0">
        <w:rPr>
          <w:lang w:eastAsia="ja-JP"/>
        </w:rPr>
        <w:t xml:space="preserve"> UL and UE-like power control in the IAB-MT and </w:t>
      </w:r>
      <w:r w:rsidR="00EC478D">
        <w:rPr>
          <w:lang w:eastAsia="ja-JP"/>
        </w:rPr>
        <w:t>the uncommon</w:t>
      </w:r>
      <w:r w:rsidRPr="00622AE0">
        <w:rPr>
          <w:lang w:eastAsia="ja-JP"/>
        </w:rPr>
        <w:t xml:space="preserve"> DL power control in the IAB-DU. </w:t>
      </w:r>
      <w:r w:rsidR="003045BC" w:rsidRPr="00622AE0">
        <w:rPr>
          <w:lang w:eastAsia="ja-JP"/>
        </w:rPr>
        <w:t>Since the two are substantially different, we discuss them separately below.</w:t>
      </w:r>
    </w:p>
    <w:p w14:paraId="76B19FC9" w14:textId="5BD9B1B4" w:rsidR="00C70717" w:rsidRPr="00622AE0" w:rsidRDefault="00C70717" w:rsidP="0056199F">
      <w:pPr>
        <w:pStyle w:val="Heading2"/>
        <w:jc w:val="both"/>
        <w:rPr>
          <w:lang w:val="en-US"/>
        </w:rPr>
      </w:pPr>
      <w:r w:rsidRPr="00622AE0">
        <w:rPr>
          <w:lang w:val="en-US"/>
        </w:rPr>
        <w:t>IAB-MT power control</w:t>
      </w:r>
    </w:p>
    <w:p w14:paraId="33D28E8D" w14:textId="7E2E0DBE" w:rsidR="0034215A" w:rsidRPr="00622AE0" w:rsidRDefault="003045BC" w:rsidP="0056199F">
      <w:pPr>
        <w:pStyle w:val="BodyText"/>
        <w:jc w:val="both"/>
        <w:rPr>
          <w:lang w:eastAsia="ja-JP"/>
        </w:rPr>
      </w:pPr>
      <w:r w:rsidRPr="00622AE0">
        <w:rPr>
          <w:lang w:eastAsia="ja-JP"/>
        </w:rPr>
        <w:t xml:space="preserve">The rationale for UL power control is </w:t>
      </w:r>
      <w:proofErr w:type="gramStart"/>
      <w:r w:rsidR="00782A26" w:rsidRPr="00622AE0">
        <w:rPr>
          <w:lang w:eastAsia="ja-JP"/>
        </w:rPr>
        <w:t>similar to</w:t>
      </w:r>
      <w:proofErr w:type="gramEnd"/>
      <w:r w:rsidR="00782A26" w:rsidRPr="00622AE0">
        <w:rPr>
          <w:lang w:eastAsia="ja-JP"/>
        </w:rPr>
        <w:t xml:space="preserve"> traditional UEs – devices </w:t>
      </w:r>
      <w:r w:rsidR="004C035A">
        <w:rPr>
          <w:lang w:eastAsia="ja-JP"/>
        </w:rPr>
        <w:t>in proximity to the serving node</w:t>
      </w:r>
      <w:r w:rsidR="00782A26" w:rsidRPr="00622AE0">
        <w:rPr>
          <w:lang w:eastAsia="ja-JP"/>
        </w:rPr>
        <w:t xml:space="preserve"> should be able to coexist with devices at the cell edge. </w:t>
      </w:r>
      <w:r w:rsidR="00D062AC" w:rsidRPr="00622AE0">
        <w:rPr>
          <w:lang w:eastAsia="ja-JP"/>
        </w:rPr>
        <w:t xml:space="preserve">Although </w:t>
      </w:r>
      <w:r w:rsidR="00974D6F">
        <w:rPr>
          <w:lang w:eastAsia="ja-JP"/>
        </w:rPr>
        <w:t>IAB-node</w:t>
      </w:r>
      <w:r w:rsidR="00D062AC" w:rsidRPr="00622AE0">
        <w:rPr>
          <w:lang w:eastAsia="ja-JP"/>
        </w:rPr>
        <w:t xml:space="preserve">s are not UEs, some </w:t>
      </w:r>
      <w:r w:rsidR="00576E90" w:rsidRPr="00622AE0">
        <w:rPr>
          <w:lang w:eastAsia="ja-JP"/>
        </w:rPr>
        <w:t>resemblance</w:t>
      </w:r>
      <w:r w:rsidR="00D062AC" w:rsidRPr="00622AE0">
        <w:rPr>
          <w:lang w:eastAsia="ja-JP"/>
        </w:rPr>
        <w:t xml:space="preserve"> to the above requirements can be found in the RAN4 specs. </w:t>
      </w:r>
      <w:r w:rsidR="0034215A" w:rsidRPr="00622AE0">
        <w:rPr>
          <w:lang w:eastAsia="ja-JP"/>
        </w:rPr>
        <w:t>RAN4 has agreed on two different IAB-MT classes</w:t>
      </w:r>
      <w:r w:rsidR="00084B7F" w:rsidRPr="00622AE0">
        <w:rPr>
          <w:lang w:eastAsia="ja-JP"/>
        </w:rPr>
        <w:t xml:space="preserve">, the wide are and the local area </w:t>
      </w:r>
      <w:r w:rsidR="00974D6F">
        <w:rPr>
          <w:lang w:eastAsia="ja-JP"/>
        </w:rPr>
        <w:t>IAB-node</w:t>
      </w:r>
      <w:r w:rsidR="00084B7F" w:rsidRPr="00622AE0">
        <w:rPr>
          <w:lang w:eastAsia="ja-JP"/>
        </w:rPr>
        <w:t xml:space="preserve">s. The use case for the wide area </w:t>
      </w:r>
      <w:r w:rsidR="00974D6F">
        <w:rPr>
          <w:lang w:eastAsia="ja-JP"/>
        </w:rPr>
        <w:t>IAB-node</w:t>
      </w:r>
      <w:r w:rsidR="00084B7F" w:rsidRPr="00622AE0">
        <w:rPr>
          <w:lang w:eastAsia="ja-JP"/>
        </w:rPr>
        <w:t xml:space="preserve"> is that it is an independent </w:t>
      </w:r>
      <w:r w:rsidR="00974D6F">
        <w:rPr>
          <w:lang w:eastAsia="ja-JP"/>
        </w:rPr>
        <w:t>IAB-node</w:t>
      </w:r>
      <w:r w:rsidR="00084B7F" w:rsidRPr="00622AE0">
        <w:rPr>
          <w:lang w:eastAsia="ja-JP"/>
        </w:rPr>
        <w:t xml:space="preserve"> providing its own coverage, </w:t>
      </w:r>
      <w:r w:rsidR="00073A80" w:rsidRPr="00622AE0">
        <w:rPr>
          <w:lang w:eastAsia="ja-JP"/>
        </w:rPr>
        <w:t xml:space="preserve">requiring a long distance </w:t>
      </w:r>
      <w:r w:rsidR="00084B7F" w:rsidRPr="00622AE0">
        <w:rPr>
          <w:lang w:eastAsia="ja-JP"/>
        </w:rPr>
        <w:t>backhaul</w:t>
      </w:r>
      <w:r w:rsidR="00073A80" w:rsidRPr="00622AE0">
        <w:rPr>
          <w:lang w:eastAsia="ja-JP"/>
        </w:rPr>
        <w:t xml:space="preserve"> link to connect to its parent </w:t>
      </w:r>
      <w:r w:rsidR="00974D6F">
        <w:rPr>
          <w:lang w:eastAsia="ja-JP"/>
        </w:rPr>
        <w:t>IAB-node</w:t>
      </w:r>
      <w:r w:rsidR="00073A80" w:rsidRPr="00622AE0">
        <w:rPr>
          <w:lang w:eastAsia="ja-JP"/>
        </w:rPr>
        <w:t xml:space="preserve">, see </w:t>
      </w:r>
      <w:r w:rsidR="00165ED6" w:rsidRPr="00622AE0">
        <w:rPr>
          <w:lang w:eastAsia="ja-JP"/>
        </w:rPr>
        <w:fldChar w:fldCharType="begin"/>
      </w:r>
      <w:r w:rsidR="00165ED6" w:rsidRPr="00622AE0">
        <w:rPr>
          <w:lang w:eastAsia="ja-JP"/>
        </w:rPr>
        <w:instrText xml:space="preserve"> REF _Ref54253517 \h </w:instrText>
      </w:r>
      <w:r w:rsidR="00600E12" w:rsidRPr="00622AE0">
        <w:rPr>
          <w:lang w:eastAsia="ja-JP"/>
        </w:rPr>
        <w:instrText xml:space="preserve"> \* MERGEFORMAT </w:instrText>
      </w:r>
      <w:r w:rsidR="00165ED6" w:rsidRPr="00622AE0">
        <w:rPr>
          <w:lang w:eastAsia="ja-JP"/>
        </w:rPr>
      </w:r>
      <w:r w:rsidR="00165ED6" w:rsidRPr="00622AE0">
        <w:rPr>
          <w:lang w:eastAsia="ja-JP"/>
        </w:rPr>
        <w:fldChar w:fldCharType="separate"/>
      </w:r>
      <w:r w:rsidR="007E64BA" w:rsidRPr="00622AE0">
        <w:t xml:space="preserve">Figure </w:t>
      </w:r>
      <w:r w:rsidR="007E64BA">
        <w:t>4</w:t>
      </w:r>
      <w:r w:rsidR="00165ED6" w:rsidRPr="00622AE0">
        <w:rPr>
          <w:lang w:eastAsia="ja-JP"/>
        </w:rPr>
        <w:fldChar w:fldCharType="end"/>
      </w:r>
      <w:r w:rsidR="00073A80" w:rsidRPr="00622AE0">
        <w:rPr>
          <w:lang w:eastAsia="ja-JP"/>
        </w:rPr>
        <w:t xml:space="preserve">. For such a deployment, little power control is required, which is also why RAN4 limited the dynamic range of the wide are IAB-MT to 5 </w:t>
      </w:r>
      <w:proofErr w:type="spellStart"/>
      <w:r w:rsidR="00073A80" w:rsidRPr="00622AE0">
        <w:rPr>
          <w:lang w:eastAsia="ja-JP"/>
        </w:rPr>
        <w:t>dB.</w:t>
      </w:r>
      <w:proofErr w:type="spellEnd"/>
    </w:p>
    <w:p w14:paraId="1477F8AD" w14:textId="77777777" w:rsidR="009D1C41" w:rsidRPr="00622AE0" w:rsidRDefault="009D1C41" w:rsidP="0056199F">
      <w:pPr>
        <w:pStyle w:val="BodyText"/>
        <w:jc w:val="both"/>
        <w:rPr>
          <w:lang w:eastAsia="ja-JP"/>
        </w:rPr>
      </w:pPr>
    </w:p>
    <w:p w14:paraId="3D2C5AE7" w14:textId="77777777" w:rsidR="00073A80" w:rsidRPr="00622AE0" w:rsidRDefault="00073A80" w:rsidP="0056199F">
      <w:pPr>
        <w:pStyle w:val="BodyText"/>
        <w:keepNext/>
        <w:jc w:val="both"/>
      </w:pPr>
      <w:r w:rsidRPr="00622AE0">
        <w:rPr>
          <w:noProof/>
          <w:lang w:eastAsia="ja-JP"/>
        </w:rPr>
        <w:drawing>
          <wp:inline distT="0" distB="0" distL="0" distR="0" wp14:anchorId="2C30F0D1" wp14:editId="6C93504C">
            <wp:extent cx="6118020" cy="1366221"/>
            <wp:effectExtent l="0" t="0" r="0" b="0"/>
            <wp:docPr id="4" name="Picture 3">
              <a:extLst xmlns:a="http://schemas.openxmlformats.org/drawingml/2006/main">
                <a:ext uri="{FF2B5EF4-FFF2-40B4-BE49-F238E27FC236}">
                  <a16:creationId xmlns:a16="http://schemas.microsoft.com/office/drawing/2014/main" id="{A1FE8DB2-C385-45AC-8A84-6DA70475AF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1FE8DB2-C385-45AC-8A84-6DA70475AFA5}"/>
                        </a:ext>
                      </a:extLst>
                    </pic:cNvPr>
                    <pic:cNvPicPr>
                      <a:picLocks noChangeAspect="1"/>
                    </pic:cNvPicPr>
                  </pic:nvPicPr>
                  <pic:blipFill>
                    <a:blip r:embed="rId11"/>
                    <a:stretch>
                      <a:fillRect/>
                    </a:stretch>
                  </pic:blipFill>
                  <pic:spPr>
                    <a:xfrm>
                      <a:off x="0" y="0"/>
                      <a:ext cx="6118020" cy="1366221"/>
                    </a:xfrm>
                    <a:prstGeom prst="rect">
                      <a:avLst/>
                    </a:prstGeom>
                  </pic:spPr>
                </pic:pic>
              </a:graphicData>
            </a:graphic>
          </wp:inline>
        </w:drawing>
      </w:r>
    </w:p>
    <w:p w14:paraId="0C8858DF" w14:textId="6C8F57CA" w:rsidR="00073A80" w:rsidRPr="00622AE0" w:rsidRDefault="00073A80" w:rsidP="0056199F">
      <w:pPr>
        <w:pStyle w:val="Caption"/>
        <w:jc w:val="both"/>
      </w:pPr>
      <w:bookmarkStart w:id="20" w:name="_Ref54253517"/>
      <w:r w:rsidRPr="00622AE0">
        <w:t xml:space="preserve">Figure </w:t>
      </w:r>
      <w:r w:rsidRPr="00622AE0">
        <w:fldChar w:fldCharType="begin"/>
      </w:r>
      <w:r w:rsidRPr="00622AE0">
        <w:instrText xml:space="preserve"> SEQ Figure \* ARABIC </w:instrText>
      </w:r>
      <w:r w:rsidRPr="00622AE0">
        <w:fldChar w:fldCharType="separate"/>
      </w:r>
      <w:r w:rsidR="007E64BA">
        <w:rPr>
          <w:noProof/>
        </w:rPr>
        <w:t>4</w:t>
      </w:r>
      <w:r w:rsidRPr="00622AE0">
        <w:fldChar w:fldCharType="end"/>
      </w:r>
      <w:bookmarkEnd w:id="20"/>
      <w:r w:rsidRPr="00622AE0">
        <w:t xml:space="preserve">: </w:t>
      </w:r>
      <w:r w:rsidR="00165ED6" w:rsidRPr="00622AE0">
        <w:t>D</w:t>
      </w:r>
      <w:r w:rsidRPr="00622AE0">
        <w:t xml:space="preserve">eployment </w:t>
      </w:r>
      <w:r w:rsidR="00165ED6" w:rsidRPr="00622AE0">
        <w:t>scenario</w:t>
      </w:r>
      <w:r w:rsidRPr="00622AE0">
        <w:t xml:space="preserve"> for wide area </w:t>
      </w:r>
      <w:r w:rsidR="00974D6F">
        <w:t>IAB-node</w:t>
      </w:r>
      <w:r w:rsidRPr="00622AE0">
        <w:t>s.</w:t>
      </w:r>
    </w:p>
    <w:p w14:paraId="60DA71EF" w14:textId="77777777" w:rsidR="009D1C41" w:rsidRPr="00622AE0" w:rsidRDefault="009D1C41" w:rsidP="0056199F">
      <w:pPr>
        <w:jc w:val="both"/>
        <w:rPr>
          <w:lang w:eastAsia="en-GB"/>
        </w:rPr>
      </w:pPr>
    </w:p>
    <w:p w14:paraId="1FD0B6AC" w14:textId="71BCEF2A" w:rsidR="00073A80" w:rsidRPr="00622AE0" w:rsidRDefault="00073A80" w:rsidP="0056199F">
      <w:pPr>
        <w:pStyle w:val="BodyText"/>
        <w:jc w:val="both"/>
        <w:rPr>
          <w:lang w:eastAsia="en-GB"/>
        </w:rPr>
      </w:pPr>
      <w:r w:rsidRPr="00622AE0">
        <w:rPr>
          <w:lang w:eastAsia="en-GB"/>
        </w:rPr>
        <w:t xml:space="preserve">The use case for the local area </w:t>
      </w:r>
      <w:r w:rsidR="00974D6F">
        <w:rPr>
          <w:lang w:eastAsia="en-GB"/>
        </w:rPr>
        <w:t>IAB-node</w:t>
      </w:r>
      <w:r w:rsidRPr="00622AE0">
        <w:rPr>
          <w:lang w:eastAsia="en-GB"/>
        </w:rPr>
        <w:t xml:space="preserve">, on the other hand, is to </w:t>
      </w:r>
      <w:r w:rsidR="00165ED6" w:rsidRPr="00622AE0">
        <w:rPr>
          <w:lang w:eastAsia="en-GB"/>
        </w:rPr>
        <w:t xml:space="preserve">boost capacity within an already existing  cell served by a donor or parent </w:t>
      </w:r>
      <w:r w:rsidR="00974D6F">
        <w:rPr>
          <w:lang w:eastAsia="en-GB"/>
        </w:rPr>
        <w:t>IAB-node</w:t>
      </w:r>
      <w:r w:rsidR="00165ED6" w:rsidRPr="00622AE0">
        <w:rPr>
          <w:lang w:eastAsia="en-GB"/>
        </w:rPr>
        <w:t xml:space="preserve">, </w:t>
      </w:r>
      <w:r w:rsidR="004148A5" w:rsidRPr="00622AE0">
        <w:rPr>
          <w:lang w:eastAsia="en-GB"/>
        </w:rPr>
        <w:t xml:space="preserve">see </w:t>
      </w:r>
      <w:r w:rsidR="004148A5" w:rsidRPr="00622AE0">
        <w:rPr>
          <w:lang w:eastAsia="en-GB"/>
        </w:rPr>
        <w:fldChar w:fldCharType="begin"/>
      </w:r>
      <w:r w:rsidR="004148A5" w:rsidRPr="00622AE0">
        <w:rPr>
          <w:lang w:eastAsia="en-GB"/>
        </w:rPr>
        <w:instrText xml:space="preserve"> REF _Ref54253586 \h </w:instrText>
      </w:r>
      <w:r w:rsidR="00600E12" w:rsidRPr="00622AE0">
        <w:rPr>
          <w:lang w:eastAsia="en-GB"/>
        </w:rPr>
        <w:instrText xml:space="preserve"> \* MERGEFORMAT </w:instrText>
      </w:r>
      <w:r w:rsidR="004148A5" w:rsidRPr="00622AE0">
        <w:rPr>
          <w:lang w:eastAsia="en-GB"/>
        </w:rPr>
      </w:r>
      <w:r w:rsidR="004148A5" w:rsidRPr="00622AE0">
        <w:rPr>
          <w:lang w:eastAsia="en-GB"/>
        </w:rPr>
        <w:fldChar w:fldCharType="separate"/>
      </w:r>
      <w:r w:rsidR="007E64BA" w:rsidRPr="00622AE0">
        <w:t xml:space="preserve">Figure </w:t>
      </w:r>
      <w:r w:rsidR="007E64BA">
        <w:t>5</w:t>
      </w:r>
      <w:r w:rsidR="004148A5" w:rsidRPr="00622AE0">
        <w:rPr>
          <w:lang w:eastAsia="en-GB"/>
        </w:rPr>
        <w:fldChar w:fldCharType="end"/>
      </w:r>
      <w:r w:rsidR="004148A5" w:rsidRPr="00622AE0">
        <w:rPr>
          <w:lang w:eastAsia="en-GB"/>
        </w:rPr>
        <w:t xml:space="preserve">. For this scenario it is apparent that the </w:t>
      </w:r>
      <w:r w:rsidR="00974D6F">
        <w:rPr>
          <w:lang w:eastAsia="en-GB"/>
        </w:rPr>
        <w:t>IAB-node</w:t>
      </w:r>
      <w:r w:rsidR="004148A5" w:rsidRPr="00622AE0">
        <w:rPr>
          <w:lang w:eastAsia="en-GB"/>
        </w:rPr>
        <w:t xml:space="preserve"> may require a higher dynamic range in order to </w:t>
      </w:r>
      <w:r w:rsidR="0046572F" w:rsidRPr="00622AE0">
        <w:rPr>
          <w:lang w:eastAsia="en-GB"/>
        </w:rPr>
        <w:t>manage more variable deployments, e.g., closer to or further away from the</w:t>
      </w:r>
      <w:r w:rsidR="00334D66" w:rsidRPr="00622AE0">
        <w:rPr>
          <w:lang w:eastAsia="en-GB"/>
        </w:rPr>
        <w:t xml:space="preserve"> donor or parent </w:t>
      </w:r>
      <w:r w:rsidR="00974D6F">
        <w:rPr>
          <w:lang w:eastAsia="en-GB"/>
        </w:rPr>
        <w:t>IAB-node</w:t>
      </w:r>
      <w:r w:rsidR="00334D66" w:rsidRPr="00622AE0">
        <w:rPr>
          <w:lang w:eastAsia="en-GB"/>
        </w:rPr>
        <w:t>. Consequently, RAN4 specified a 10 dB dynamic range requirement for this case.</w:t>
      </w:r>
    </w:p>
    <w:p w14:paraId="5780C997" w14:textId="77777777" w:rsidR="009D1C41" w:rsidRPr="00622AE0" w:rsidRDefault="009D1C41" w:rsidP="0056199F">
      <w:pPr>
        <w:pStyle w:val="BodyText"/>
        <w:jc w:val="both"/>
        <w:rPr>
          <w:lang w:eastAsia="en-GB"/>
        </w:rPr>
      </w:pPr>
    </w:p>
    <w:p w14:paraId="1EBF8358" w14:textId="77777777" w:rsidR="00165ED6" w:rsidRPr="00622AE0" w:rsidRDefault="00165ED6" w:rsidP="0056199F">
      <w:pPr>
        <w:pStyle w:val="BodyText"/>
        <w:keepNext/>
        <w:jc w:val="center"/>
      </w:pPr>
      <w:r w:rsidRPr="00622AE0">
        <w:rPr>
          <w:noProof/>
          <w:lang w:eastAsia="en-GB"/>
        </w:rPr>
        <w:lastRenderedPageBreak/>
        <w:drawing>
          <wp:inline distT="0" distB="0" distL="0" distR="0" wp14:anchorId="2931A973" wp14:editId="713E62A3">
            <wp:extent cx="4417330" cy="1918636"/>
            <wp:effectExtent l="0" t="0" r="2540" b="5715"/>
            <wp:docPr id="2" name="Picture 2">
              <a:extLst xmlns:a="http://schemas.openxmlformats.org/drawingml/2006/main">
                <a:ext uri="{FF2B5EF4-FFF2-40B4-BE49-F238E27FC236}">
                  <a16:creationId xmlns:a16="http://schemas.microsoft.com/office/drawing/2014/main" id="{2923C22F-ABFB-4505-AE0A-6CB4A4F061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923C22F-ABFB-4505-AE0A-6CB4A4F061BF}"/>
                        </a:ext>
                      </a:extLst>
                    </pic:cNvPr>
                    <pic:cNvPicPr>
                      <a:picLocks noChangeAspect="1"/>
                    </pic:cNvPicPr>
                  </pic:nvPicPr>
                  <pic:blipFill>
                    <a:blip r:embed="rId12"/>
                    <a:stretch>
                      <a:fillRect/>
                    </a:stretch>
                  </pic:blipFill>
                  <pic:spPr>
                    <a:xfrm>
                      <a:off x="0" y="0"/>
                      <a:ext cx="4417330" cy="1918636"/>
                    </a:xfrm>
                    <a:prstGeom prst="rect">
                      <a:avLst/>
                    </a:prstGeom>
                  </pic:spPr>
                </pic:pic>
              </a:graphicData>
            </a:graphic>
          </wp:inline>
        </w:drawing>
      </w:r>
    </w:p>
    <w:p w14:paraId="0463714F" w14:textId="28888F1B" w:rsidR="00165ED6" w:rsidRPr="00622AE0" w:rsidRDefault="00165ED6" w:rsidP="0056199F">
      <w:pPr>
        <w:pStyle w:val="Caption"/>
        <w:jc w:val="both"/>
      </w:pPr>
      <w:bookmarkStart w:id="21" w:name="_Ref54253586"/>
      <w:r w:rsidRPr="00622AE0">
        <w:t xml:space="preserve">Figure </w:t>
      </w:r>
      <w:r w:rsidRPr="00622AE0">
        <w:fldChar w:fldCharType="begin"/>
      </w:r>
      <w:r w:rsidRPr="00622AE0">
        <w:instrText xml:space="preserve"> SEQ Figure \* ARABIC </w:instrText>
      </w:r>
      <w:r w:rsidRPr="00622AE0">
        <w:fldChar w:fldCharType="separate"/>
      </w:r>
      <w:r w:rsidR="007E64BA">
        <w:rPr>
          <w:noProof/>
        </w:rPr>
        <w:t>5</w:t>
      </w:r>
      <w:r w:rsidRPr="00622AE0">
        <w:fldChar w:fldCharType="end"/>
      </w:r>
      <w:bookmarkEnd w:id="21"/>
      <w:r w:rsidRPr="00622AE0">
        <w:t xml:space="preserve">: Deployment scenario for local area </w:t>
      </w:r>
      <w:r w:rsidR="00974D6F">
        <w:t>IAB-node</w:t>
      </w:r>
      <w:r w:rsidRPr="00622AE0">
        <w:t>s.</w:t>
      </w:r>
    </w:p>
    <w:p w14:paraId="56CCDA81" w14:textId="77777777" w:rsidR="00F449D3" w:rsidRPr="00622AE0" w:rsidRDefault="00F449D3" w:rsidP="0056199F">
      <w:pPr>
        <w:jc w:val="both"/>
        <w:rPr>
          <w:lang w:eastAsia="en-GB"/>
        </w:rPr>
      </w:pPr>
    </w:p>
    <w:p w14:paraId="7ADA7F22" w14:textId="0DBF6F5B" w:rsidR="009D1C41" w:rsidRPr="00622AE0" w:rsidRDefault="00334D66" w:rsidP="0056199F">
      <w:pPr>
        <w:jc w:val="both"/>
        <w:rPr>
          <w:lang w:eastAsia="en-GB"/>
        </w:rPr>
      </w:pPr>
      <w:r w:rsidRPr="00622AE0">
        <w:rPr>
          <w:lang w:eastAsia="en-GB"/>
        </w:rPr>
        <w:t xml:space="preserve">In addition to the different scenarios, different </w:t>
      </w:r>
      <w:r w:rsidR="00542826" w:rsidRPr="00622AE0">
        <w:rPr>
          <w:lang w:eastAsia="en-GB"/>
        </w:rPr>
        <w:t xml:space="preserve">generations of </w:t>
      </w:r>
      <w:r w:rsidR="00974D6F">
        <w:rPr>
          <w:lang w:eastAsia="en-GB"/>
        </w:rPr>
        <w:t>IAB-node</w:t>
      </w:r>
      <w:r w:rsidR="00542826" w:rsidRPr="00622AE0">
        <w:rPr>
          <w:lang w:eastAsia="en-GB"/>
        </w:rPr>
        <w:t>s</w:t>
      </w:r>
      <w:r w:rsidRPr="00622AE0">
        <w:rPr>
          <w:lang w:eastAsia="en-GB"/>
        </w:rPr>
        <w:t xml:space="preserve"> may </w:t>
      </w:r>
      <w:r w:rsidR="00542826" w:rsidRPr="00622AE0">
        <w:rPr>
          <w:lang w:eastAsia="en-GB"/>
        </w:rPr>
        <w:t xml:space="preserve">have varying capabilities to control </w:t>
      </w:r>
      <w:r w:rsidR="00C2431D">
        <w:rPr>
          <w:lang w:eastAsia="en-GB"/>
        </w:rPr>
        <w:t xml:space="preserve">transmit </w:t>
      </w:r>
      <w:r w:rsidR="00542826" w:rsidRPr="00622AE0">
        <w:rPr>
          <w:lang w:eastAsia="en-GB"/>
        </w:rPr>
        <w:t xml:space="preserve">power. For example, an </w:t>
      </w:r>
      <w:r w:rsidR="00974D6F">
        <w:rPr>
          <w:lang w:eastAsia="en-GB"/>
        </w:rPr>
        <w:t>IAB-node</w:t>
      </w:r>
      <w:r w:rsidR="00542826" w:rsidRPr="00622AE0">
        <w:rPr>
          <w:lang w:eastAsia="en-GB"/>
        </w:rPr>
        <w:t xml:space="preserve"> using analog</w:t>
      </w:r>
      <w:r w:rsidR="00C70DF3" w:rsidRPr="00622AE0">
        <w:rPr>
          <w:lang w:eastAsia="en-GB"/>
        </w:rPr>
        <w:t>ue</w:t>
      </w:r>
      <w:r w:rsidR="00542826" w:rsidRPr="00622AE0">
        <w:rPr>
          <w:lang w:eastAsia="en-GB"/>
        </w:rPr>
        <w:t xml:space="preserve"> BF may not have individual control of its antenna elements whereas a future </w:t>
      </w:r>
      <w:r w:rsidR="00974D6F">
        <w:rPr>
          <w:lang w:eastAsia="en-GB"/>
        </w:rPr>
        <w:t>IAB-node</w:t>
      </w:r>
      <w:r w:rsidR="00542826" w:rsidRPr="00622AE0">
        <w:rPr>
          <w:lang w:eastAsia="en-GB"/>
        </w:rPr>
        <w:t xml:space="preserve"> using digital BF may have.</w:t>
      </w:r>
      <w:r w:rsidR="000F64A7" w:rsidRPr="00622AE0">
        <w:rPr>
          <w:lang w:eastAsia="en-GB"/>
        </w:rPr>
        <w:t xml:space="preserve"> Additionally, the first generation of </w:t>
      </w:r>
      <w:r w:rsidR="00974D6F">
        <w:rPr>
          <w:lang w:eastAsia="en-GB"/>
        </w:rPr>
        <w:t>IAB-node</w:t>
      </w:r>
      <w:r w:rsidR="000F64A7" w:rsidRPr="00622AE0">
        <w:rPr>
          <w:lang w:eastAsia="en-GB"/>
        </w:rPr>
        <w:t>s, based on existing HW, may have little power control functionality</w:t>
      </w:r>
      <w:r w:rsidR="004D01DD" w:rsidRPr="00622AE0">
        <w:rPr>
          <w:lang w:eastAsia="en-GB"/>
        </w:rPr>
        <w:t>. Hence, the spec should allow for different capabilities of power control</w:t>
      </w:r>
      <w:r w:rsidR="00C70717" w:rsidRPr="00622AE0">
        <w:rPr>
          <w:lang w:eastAsia="en-GB"/>
        </w:rPr>
        <w:t>.</w:t>
      </w:r>
    </w:p>
    <w:p w14:paraId="10648853" w14:textId="12814F39" w:rsidR="000973AE" w:rsidRPr="00622AE0" w:rsidRDefault="00B06AF3" w:rsidP="0056199F">
      <w:pPr>
        <w:pStyle w:val="Proposal"/>
        <w:jc w:val="both"/>
      </w:pPr>
      <w:bookmarkStart w:id="22" w:name="_Toc54383655"/>
      <w:r w:rsidRPr="00622AE0">
        <w:t xml:space="preserve">The specification </w:t>
      </w:r>
      <w:r w:rsidR="00C70717" w:rsidRPr="00622AE0">
        <w:t xml:space="preserve">should allow for different </w:t>
      </w:r>
      <w:r w:rsidRPr="00622AE0">
        <w:t xml:space="preserve">IAB-MT </w:t>
      </w:r>
      <w:r w:rsidR="00C70717" w:rsidRPr="00622AE0">
        <w:t>power control capabilities</w:t>
      </w:r>
      <w:r w:rsidRPr="00622AE0">
        <w:t>, considering existing and future HW architectures.</w:t>
      </w:r>
      <w:bookmarkEnd w:id="22"/>
    </w:p>
    <w:p w14:paraId="05C8EA25" w14:textId="6DB39124" w:rsidR="00B06AF3" w:rsidRPr="00622AE0" w:rsidRDefault="00B06AF3" w:rsidP="0056199F">
      <w:pPr>
        <w:pStyle w:val="Heading2"/>
        <w:jc w:val="both"/>
        <w:rPr>
          <w:lang w:val="en-US"/>
        </w:rPr>
      </w:pPr>
      <w:r w:rsidRPr="00622AE0">
        <w:rPr>
          <w:lang w:val="en-US"/>
        </w:rPr>
        <w:t>IAB-DU power control</w:t>
      </w:r>
    </w:p>
    <w:p w14:paraId="6B4E0448" w14:textId="504FC091" w:rsidR="009D1C41" w:rsidRPr="00622AE0" w:rsidRDefault="00050D57" w:rsidP="0056199F">
      <w:pPr>
        <w:jc w:val="both"/>
        <w:rPr>
          <w:lang w:eastAsia="ja-JP"/>
        </w:rPr>
      </w:pPr>
      <w:r w:rsidRPr="00622AE0">
        <w:rPr>
          <w:lang w:eastAsia="ja-JP"/>
        </w:rPr>
        <w:t xml:space="preserve">On its DU-side, the </w:t>
      </w:r>
      <w:r w:rsidR="00974D6F">
        <w:rPr>
          <w:lang w:eastAsia="ja-JP"/>
        </w:rPr>
        <w:t>IAB-node</w:t>
      </w:r>
      <w:r w:rsidRPr="00622AE0">
        <w:rPr>
          <w:lang w:eastAsia="ja-JP"/>
        </w:rPr>
        <w:t xml:space="preserve"> takes the role as a base station. </w:t>
      </w:r>
      <w:r w:rsidR="00172948" w:rsidRPr="00622AE0">
        <w:rPr>
          <w:lang w:eastAsia="ja-JP"/>
        </w:rPr>
        <w:t>For that reason, on the one hand,</w:t>
      </w:r>
      <w:r w:rsidRPr="00622AE0">
        <w:rPr>
          <w:lang w:eastAsia="ja-JP"/>
        </w:rPr>
        <w:t xml:space="preserve"> it should provide a constant output power to achieve predictable coverage.</w:t>
      </w:r>
      <w:r w:rsidR="00172948" w:rsidRPr="00622AE0">
        <w:rPr>
          <w:lang w:eastAsia="ja-JP"/>
        </w:rPr>
        <w:t xml:space="preserve"> </w:t>
      </w:r>
      <w:r w:rsidR="0017592D" w:rsidRPr="00622AE0">
        <w:rPr>
          <w:lang w:eastAsia="ja-JP"/>
        </w:rPr>
        <w:t xml:space="preserve">That </w:t>
      </w:r>
      <w:r w:rsidR="00926259" w:rsidRPr="00622AE0">
        <w:rPr>
          <w:lang w:eastAsia="ja-JP"/>
        </w:rPr>
        <w:t>implies that the coverage providing broadcast signals and channels will not use power control</w:t>
      </w:r>
      <w:r w:rsidR="00FF06BC">
        <w:rPr>
          <w:lang w:eastAsia="ja-JP"/>
        </w:rPr>
        <w:t>. Instead</w:t>
      </w:r>
      <w:r w:rsidR="009D1C41" w:rsidRPr="00622AE0">
        <w:rPr>
          <w:lang w:eastAsia="ja-JP"/>
        </w:rPr>
        <w:t>,</w:t>
      </w:r>
      <w:r w:rsidR="00926259" w:rsidRPr="00622AE0">
        <w:rPr>
          <w:lang w:eastAsia="ja-JP"/>
        </w:rPr>
        <w:t xml:space="preserve"> </w:t>
      </w:r>
      <w:r w:rsidR="00FF06BC">
        <w:rPr>
          <w:lang w:eastAsia="ja-JP"/>
        </w:rPr>
        <w:t xml:space="preserve">power control is </w:t>
      </w:r>
      <w:r w:rsidR="009D1C41" w:rsidRPr="00622AE0">
        <w:rPr>
          <w:lang w:eastAsia="ja-JP"/>
        </w:rPr>
        <w:t>limit</w:t>
      </w:r>
      <w:r w:rsidR="00FF06BC">
        <w:rPr>
          <w:lang w:eastAsia="ja-JP"/>
        </w:rPr>
        <w:t>ed</w:t>
      </w:r>
      <w:r w:rsidR="00926259" w:rsidRPr="00622AE0">
        <w:rPr>
          <w:lang w:eastAsia="ja-JP"/>
        </w:rPr>
        <w:t xml:space="preserve"> to</w:t>
      </w:r>
      <w:r w:rsidR="0017592D" w:rsidRPr="00622AE0">
        <w:rPr>
          <w:lang w:eastAsia="ja-JP"/>
        </w:rPr>
        <w:t xml:space="preserve"> </w:t>
      </w:r>
      <w:r w:rsidR="00926259" w:rsidRPr="00622AE0">
        <w:rPr>
          <w:lang w:eastAsia="ja-JP"/>
        </w:rPr>
        <w:t>a subset of all</w:t>
      </w:r>
      <w:r w:rsidR="0017592D" w:rsidRPr="00622AE0">
        <w:rPr>
          <w:lang w:eastAsia="ja-JP"/>
        </w:rPr>
        <w:t xml:space="preserve"> channels, </w:t>
      </w:r>
      <w:r w:rsidR="00F140B0" w:rsidRPr="00622AE0">
        <w:rPr>
          <w:lang w:eastAsia="ja-JP"/>
        </w:rPr>
        <w:t>essentially</w:t>
      </w:r>
      <w:r w:rsidR="0017592D" w:rsidRPr="00622AE0">
        <w:rPr>
          <w:lang w:eastAsia="ja-JP"/>
        </w:rPr>
        <w:t xml:space="preserve"> unicast PDCCH and PDSCH.</w:t>
      </w:r>
      <w:r w:rsidR="004D521D" w:rsidRPr="00622AE0">
        <w:rPr>
          <w:lang w:eastAsia="ja-JP"/>
        </w:rPr>
        <w:t xml:space="preserve"> </w:t>
      </w:r>
      <w:r w:rsidR="00FF06BC">
        <w:rPr>
          <w:lang w:eastAsia="ja-JP"/>
        </w:rPr>
        <w:t>Such a selective power control requirement</w:t>
      </w:r>
      <w:r w:rsidR="004D521D" w:rsidRPr="00622AE0">
        <w:rPr>
          <w:lang w:eastAsia="ja-JP"/>
        </w:rPr>
        <w:t xml:space="preserve"> will put further requirements on the IAB-DU in that</w:t>
      </w:r>
      <w:r w:rsidR="00293BA7" w:rsidRPr="00622AE0">
        <w:rPr>
          <w:lang w:eastAsia="ja-JP"/>
        </w:rPr>
        <w:t xml:space="preserve"> rapid power control may be required to allow </w:t>
      </w:r>
      <w:r w:rsidR="009D1C41" w:rsidRPr="00622AE0">
        <w:rPr>
          <w:lang w:eastAsia="ja-JP"/>
        </w:rPr>
        <w:t xml:space="preserve">transmit </w:t>
      </w:r>
      <w:r w:rsidR="00293BA7" w:rsidRPr="00622AE0">
        <w:rPr>
          <w:lang w:eastAsia="ja-JP"/>
        </w:rPr>
        <w:t xml:space="preserve">power changes from one slot to another </w:t>
      </w:r>
      <w:r w:rsidR="009D1C41" w:rsidRPr="00622AE0">
        <w:rPr>
          <w:lang w:eastAsia="ja-JP"/>
        </w:rPr>
        <w:t xml:space="preserve">or </w:t>
      </w:r>
      <w:r w:rsidR="00293BA7" w:rsidRPr="00622AE0">
        <w:rPr>
          <w:lang w:eastAsia="ja-JP"/>
        </w:rPr>
        <w:t xml:space="preserve">even </w:t>
      </w:r>
      <w:r w:rsidR="009D1C41" w:rsidRPr="00622AE0">
        <w:rPr>
          <w:lang w:eastAsia="ja-JP"/>
        </w:rPr>
        <w:t xml:space="preserve">from </w:t>
      </w:r>
      <w:r w:rsidR="00293BA7" w:rsidRPr="00622AE0">
        <w:rPr>
          <w:lang w:eastAsia="ja-JP"/>
        </w:rPr>
        <w:t>one symbol to another. Such requirements are presently not feasible and likely will not be</w:t>
      </w:r>
      <w:r w:rsidR="009D1C41" w:rsidRPr="00622AE0">
        <w:rPr>
          <w:lang w:eastAsia="ja-JP"/>
        </w:rPr>
        <w:t>,</w:t>
      </w:r>
      <w:r w:rsidR="00293BA7" w:rsidRPr="00622AE0">
        <w:rPr>
          <w:lang w:eastAsia="ja-JP"/>
        </w:rPr>
        <w:t xml:space="preserve"> since</w:t>
      </w:r>
      <w:r w:rsidR="00F66B96">
        <w:rPr>
          <w:lang w:eastAsia="ja-JP"/>
        </w:rPr>
        <w:t xml:space="preserve"> power amplifiers typically </w:t>
      </w:r>
      <w:r w:rsidR="00293BA7" w:rsidRPr="00622AE0">
        <w:rPr>
          <w:lang w:eastAsia="ja-JP"/>
        </w:rPr>
        <w:t xml:space="preserve">require at least a few µs </w:t>
      </w:r>
      <w:r w:rsidR="00F66B96">
        <w:rPr>
          <w:lang w:eastAsia="ja-JP"/>
        </w:rPr>
        <w:t>for changes to stabilize</w:t>
      </w:r>
      <w:r w:rsidR="001F16FA" w:rsidRPr="00622AE0">
        <w:rPr>
          <w:lang w:eastAsia="ja-JP"/>
        </w:rPr>
        <w:t>.</w:t>
      </w:r>
      <w:r w:rsidR="00CB4B26" w:rsidRPr="00622AE0">
        <w:rPr>
          <w:lang w:eastAsia="ja-JP"/>
        </w:rPr>
        <w:t xml:space="preserve"> Switching power levels would </w:t>
      </w:r>
      <w:r w:rsidR="00F66B96">
        <w:rPr>
          <w:lang w:eastAsia="ja-JP"/>
        </w:rPr>
        <w:t>hence</w:t>
      </w:r>
      <w:r w:rsidR="00CB4B26" w:rsidRPr="00622AE0">
        <w:rPr>
          <w:lang w:eastAsia="ja-JP"/>
        </w:rPr>
        <w:t xml:space="preserve"> be associated with reduced network capacity due to the symbols that would be </w:t>
      </w:r>
      <w:r w:rsidR="005F0108" w:rsidRPr="00622AE0">
        <w:rPr>
          <w:lang w:eastAsia="ja-JP"/>
        </w:rPr>
        <w:t xml:space="preserve">left unused </w:t>
      </w:r>
      <w:r w:rsidR="00CB4B26" w:rsidRPr="00622AE0">
        <w:rPr>
          <w:lang w:eastAsia="ja-JP"/>
        </w:rPr>
        <w:t xml:space="preserve">during the </w:t>
      </w:r>
      <w:r w:rsidR="00F66B96">
        <w:rPr>
          <w:lang w:eastAsia="ja-JP"/>
        </w:rPr>
        <w:t>adjustment</w:t>
      </w:r>
      <w:r w:rsidR="00CB4B26" w:rsidRPr="00622AE0">
        <w:rPr>
          <w:lang w:eastAsia="ja-JP"/>
        </w:rPr>
        <w:t>.</w:t>
      </w:r>
    </w:p>
    <w:p w14:paraId="4B0519D0" w14:textId="342C7CD1" w:rsidR="009D1C41" w:rsidRPr="00622AE0" w:rsidRDefault="009D1C41" w:rsidP="0056199F">
      <w:pPr>
        <w:pStyle w:val="Observation"/>
        <w:ind w:left="1701" w:hanging="1701"/>
        <w:jc w:val="both"/>
      </w:pPr>
      <w:r w:rsidRPr="00622AE0">
        <w:tab/>
      </w:r>
      <w:bookmarkStart w:id="23" w:name="_Toc54383647"/>
      <w:r w:rsidRPr="00622AE0">
        <w:t>Power control in DL broadcast signals and channels will affect cell coverage.</w:t>
      </w:r>
      <w:bookmarkEnd w:id="23"/>
    </w:p>
    <w:p w14:paraId="60AA7469" w14:textId="039BA8CC" w:rsidR="009D1C41" w:rsidRPr="00622AE0" w:rsidRDefault="00C47614" w:rsidP="0056199F">
      <w:pPr>
        <w:pStyle w:val="Observation"/>
        <w:ind w:left="1701" w:hanging="1701"/>
        <w:jc w:val="both"/>
      </w:pPr>
      <w:bookmarkStart w:id="24" w:name="_Toc54383648"/>
      <w:r w:rsidRPr="00622AE0">
        <w:t xml:space="preserve">To suit all IAB-DU </w:t>
      </w:r>
      <w:r w:rsidR="008463A4" w:rsidRPr="00622AE0">
        <w:t xml:space="preserve">power control </w:t>
      </w:r>
      <w:r w:rsidRPr="00622AE0">
        <w:t>requirements would necessitate slot-by-slot or symbol-by-symbol power control</w:t>
      </w:r>
      <w:r w:rsidR="008463A4" w:rsidRPr="00622AE0">
        <w:t xml:space="preserve"> which is infeasible.</w:t>
      </w:r>
      <w:bookmarkEnd w:id="24"/>
    </w:p>
    <w:p w14:paraId="68E046F5" w14:textId="4A35F664" w:rsidR="009D1C41" w:rsidRPr="00622AE0" w:rsidRDefault="00172948" w:rsidP="0056199F">
      <w:pPr>
        <w:jc w:val="both"/>
        <w:rPr>
          <w:lang w:eastAsia="ja-JP"/>
        </w:rPr>
      </w:pPr>
      <w:r w:rsidRPr="00622AE0">
        <w:rPr>
          <w:lang w:eastAsia="ja-JP"/>
        </w:rPr>
        <w:t xml:space="preserve">On the other hand, it would </w:t>
      </w:r>
      <w:r w:rsidR="00F140B0" w:rsidRPr="00622AE0">
        <w:rPr>
          <w:lang w:eastAsia="ja-JP"/>
        </w:rPr>
        <w:t xml:space="preserve">clearly </w:t>
      </w:r>
      <w:r w:rsidRPr="00622AE0">
        <w:rPr>
          <w:lang w:eastAsia="ja-JP"/>
        </w:rPr>
        <w:t xml:space="preserve">be beneficial from a multiplexing perspective </w:t>
      </w:r>
      <w:r w:rsidR="00215CBF" w:rsidRPr="00622AE0">
        <w:rPr>
          <w:lang w:eastAsia="ja-JP"/>
        </w:rPr>
        <w:t xml:space="preserve">with some DL power control, e.g., to allow simultaneous reception in an </w:t>
      </w:r>
      <w:r w:rsidR="00974D6F">
        <w:rPr>
          <w:lang w:eastAsia="ja-JP"/>
        </w:rPr>
        <w:t>IAB-node</w:t>
      </w:r>
      <w:r w:rsidR="00215CBF" w:rsidRPr="00622AE0">
        <w:rPr>
          <w:lang w:eastAsia="ja-JP"/>
        </w:rPr>
        <w:t xml:space="preserve"> between a </w:t>
      </w:r>
      <w:r w:rsidR="00F140B0" w:rsidRPr="00622AE0">
        <w:rPr>
          <w:lang w:eastAsia="ja-JP"/>
        </w:rPr>
        <w:t xml:space="preserve">wide area </w:t>
      </w:r>
      <w:r w:rsidR="00215CBF" w:rsidRPr="00622AE0">
        <w:rPr>
          <w:lang w:eastAsia="ja-JP"/>
        </w:rPr>
        <w:t xml:space="preserve">parent </w:t>
      </w:r>
      <w:r w:rsidR="00974D6F">
        <w:rPr>
          <w:lang w:eastAsia="ja-JP"/>
        </w:rPr>
        <w:t>IAB-node</w:t>
      </w:r>
      <w:r w:rsidR="00215CBF" w:rsidRPr="00622AE0">
        <w:rPr>
          <w:lang w:eastAsia="ja-JP"/>
        </w:rPr>
        <w:t xml:space="preserve"> and a </w:t>
      </w:r>
      <w:r w:rsidR="00F140B0" w:rsidRPr="00622AE0">
        <w:rPr>
          <w:lang w:eastAsia="ja-JP"/>
        </w:rPr>
        <w:t xml:space="preserve">local area </w:t>
      </w:r>
      <w:r w:rsidR="00974D6F">
        <w:rPr>
          <w:lang w:eastAsia="ja-JP"/>
        </w:rPr>
        <w:t>IAB-node</w:t>
      </w:r>
      <w:r w:rsidR="00F140B0" w:rsidRPr="00622AE0">
        <w:rPr>
          <w:lang w:eastAsia="ja-JP"/>
        </w:rPr>
        <w:t xml:space="preserve"> or a </w:t>
      </w:r>
      <w:r w:rsidR="00215CBF" w:rsidRPr="00622AE0">
        <w:rPr>
          <w:lang w:eastAsia="ja-JP"/>
        </w:rPr>
        <w:t>UE.</w:t>
      </w:r>
      <w:r w:rsidR="00F140B0" w:rsidRPr="00622AE0">
        <w:rPr>
          <w:lang w:eastAsia="ja-JP"/>
        </w:rPr>
        <w:t xml:space="preserve"> While it has been explained in the two first sections in this contribution</w:t>
      </w:r>
      <w:r w:rsidR="008461F7" w:rsidRPr="00622AE0">
        <w:rPr>
          <w:lang w:eastAsia="ja-JP"/>
        </w:rPr>
        <w:t xml:space="preserve"> why including UEs in the simultaneous communications schemes to be specified</w:t>
      </w:r>
      <w:r w:rsidR="00641E88">
        <w:rPr>
          <w:lang w:eastAsia="ja-JP"/>
        </w:rPr>
        <w:t xml:space="preserve"> should be avoided</w:t>
      </w:r>
      <w:r w:rsidR="008461F7" w:rsidRPr="00622AE0">
        <w:rPr>
          <w:lang w:eastAsia="ja-JP"/>
        </w:rPr>
        <w:t xml:space="preserve">, allowing it for local area </w:t>
      </w:r>
      <w:r w:rsidR="00974D6F">
        <w:rPr>
          <w:lang w:eastAsia="ja-JP"/>
        </w:rPr>
        <w:t>IAB-node</w:t>
      </w:r>
      <w:r w:rsidR="008461F7" w:rsidRPr="00622AE0">
        <w:rPr>
          <w:lang w:eastAsia="ja-JP"/>
        </w:rPr>
        <w:t xml:space="preserve"> </w:t>
      </w:r>
      <w:r w:rsidR="00641E88">
        <w:rPr>
          <w:lang w:eastAsia="ja-JP"/>
        </w:rPr>
        <w:t>is certainly within the scope of the WID</w:t>
      </w:r>
      <w:r w:rsidR="008461F7" w:rsidRPr="00622AE0">
        <w:rPr>
          <w:lang w:eastAsia="ja-JP"/>
        </w:rPr>
        <w:t>.</w:t>
      </w:r>
      <w:r w:rsidR="001879E3" w:rsidRPr="00622AE0">
        <w:rPr>
          <w:lang w:eastAsia="ja-JP"/>
        </w:rPr>
        <w:t xml:space="preserve"> For that reason, introducing some optional DL power control may be beneficial for some use cases.</w:t>
      </w:r>
    </w:p>
    <w:p w14:paraId="0207DFF5" w14:textId="754C25CA" w:rsidR="009D1C41" w:rsidRPr="00622AE0" w:rsidRDefault="00B06AF3" w:rsidP="0056199F">
      <w:pPr>
        <w:pStyle w:val="Proposal"/>
        <w:jc w:val="both"/>
        <w:rPr>
          <w:lang w:eastAsia="ja-JP"/>
        </w:rPr>
      </w:pPr>
      <w:bookmarkStart w:id="25" w:name="_Toc54383656"/>
      <w:r w:rsidRPr="00622AE0">
        <w:rPr>
          <w:lang w:eastAsia="ja-JP"/>
        </w:rPr>
        <w:t>DL power control is optional for IAB-DU.</w:t>
      </w:r>
      <w:bookmarkEnd w:id="25"/>
    </w:p>
    <w:p w14:paraId="29E76B3A" w14:textId="37C51D93" w:rsidR="009E2B8B" w:rsidRPr="00622AE0" w:rsidRDefault="00D31E4D" w:rsidP="0056199F">
      <w:pPr>
        <w:pStyle w:val="Proposal"/>
        <w:jc w:val="both"/>
        <w:rPr>
          <w:lang w:eastAsia="ja-JP"/>
        </w:rPr>
      </w:pPr>
      <w:bookmarkStart w:id="26" w:name="_Toc54383657"/>
      <w:r w:rsidRPr="00622AE0">
        <w:rPr>
          <w:lang w:eastAsia="ja-JP"/>
        </w:rPr>
        <w:t xml:space="preserve">Further </w:t>
      </w:r>
      <w:r w:rsidR="001879E3" w:rsidRPr="00622AE0">
        <w:rPr>
          <w:lang w:eastAsia="ja-JP"/>
        </w:rPr>
        <w:t>study</w:t>
      </w:r>
      <w:r w:rsidRPr="00622AE0">
        <w:rPr>
          <w:lang w:eastAsia="ja-JP"/>
        </w:rPr>
        <w:t xml:space="preserve"> DL power control for PDCCH and PDSCH.</w:t>
      </w:r>
      <w:bookmarkEnd w:id="26"/>
    </w:p>
    <w:p w14:paraId="114F6F10" w14:textId="77777777" w:rsidR="00C01F33" w:rsidRPr="00622AE0" w:rsidRDefault="00C01F33" w:rsidP="0056199F">
      <w:pPr>
        <w:pStyle w:val="Heading1"/>
        <w:jc w:val="both"/>
        <w:rPr>
          <w:lang w:val="en-US"/>
        </w:rPr>
      </w:pPr>
      <w:r w:rsidRPr="00622AE0">
        <w:rPr>
          <w:lang w:val="en-US"/>
        </w:rPr>
        <w:lastRenderedPageBreak/>
        <w:t>Conclusion</w:t>
      </w:r>
    </w:p>
    <w:p w14:paraId="2F647881" w14:textId="1F746D25" w:rsidR="008E065E" w:rsidRPr="00622AE0" w:rsidRDefault="008E065E" w:rsidP="0056199F">
      <w:pPr>
        <w:pStyle w:val="BodyText"/>
        <w:jc w:val="both"/>
        <w:rPr>
          <w:b/>
        </w:rPr>
      </w:pPr>
      <w:r w:rsidRPr="00622AE0">
        <w:t xml:space="preserve">In </w:t>
      </w:r>
      <w:r w:rsidR="007729A2" w:rsidRPr="00622AE0">
        <w:t xml:space="preserve">the previous </w:t>
      </w:r>
      <w:r w:rsidRPr="00622AE0">
        <w:t>section</w:t>
      </w:r>
      <w:r w:rsidR="007729A2" w:rsidRPr="00622AE0">
        <w:t>s</w:t>
      </w:r>
      <w:r w:rsidRPr="00622AE0">
        <w:t xml:space="preserve"> we made the following observations:</w:t>
      </w:r>
    </w:p>
    <w:p w14:paraId="0D7ACB63" w14:textId="77777777" w:rsidR="007E64BA" w:rsidRDefault="006F6582" w:rsidP="007E64BA">
      <w:pPr>
        <w:pStyle w:val="TableofFigures"/>
        <w:tabs>
          <w:tab w:val="right" w:leader="dot" w:pos="9629"/>
        </w:tabs>
        <w:jc w:val="both"/>
        <w:rPr>
          <w:rFonts w:eastAsiaTheme="minorEastAsia"/>
          <w:b w:val="0"/>
          <w:noProof/>
          <w:lang w:val="sv-SE" w:eastAsia="sv-SE"/>
        </w:rPr>
      </w:pPr>
      <w:r w:rsidRPr="00622AE0">
        <w:fldChar w:fldCharType="begin"/>
      </w:r>
      <w:r w:rsidRPr="00622AE0">
        <w:instrText xml:space="preserve"> TOC \f O \n \h \z \t "Observation" \c </w:instrText>
      </w:r>
      <w:r w:rsidRPr="00622AE0">
        <w:fldChar w:fldCharType="separate"/>
      </w:r>
      <w:bookmarkStart w:id="27" w:name="_GoBack"/>
      <w:r w:rsidR="007E64BA" w:rsidRPr="008A0174">
        <w:rPr>
          <w:rStyle w:val="Hyperlink"/>
          <w:noProof/>
        </w:rPr>
        <w:fldChar w:fldCharType="begin"/>
      </w:r>
      <w:r w:rsidR="007E64BA" w:rsidRPr="008A0174">
        <w:rPr>
          <w:rStyle w:val="Hyperlink"/>
          <w:noProof/>
        </w:rPr>
        <w:instrText xml:space="preserve"> </w:instrText>
      </w:r>
      <w:r w:rsidR="007E64BA">
        <w:rPr>
          <w:noProof/>
        </w:rPr>
        <w:instrText>HYPERLINK \l "_Toc54383639"</w:instrText>
      </w:r>
      <w:r w:rsidR="007E64BA" w:rsidRPr="008A0174">
        <w:rPr>
          <w:rStyle w:val="Hyperlink"/>
          <w:noProof/>
        </w:rPr>
        <w:instrText xml:space="preserve"> </w:instrText>
      </w:r>
      <w:r w:rsidR="007E64BA" w:rsidRPr="008A0174">
        <w:rPr>
          <w:rStyle w:val="Hyperlink"/>
          <w:noProof/>
        </w:rPr>
      </w:r>
      <w:r w:rsidR="007E64BA" w:rsidRPr="008A0174">
        <w:rPr>
          <w:rStyle w:val="Hyperlink"/>
          <w:noProof/>
        </w:rPr>
        <w:fldChar w:fldCharType="separate"/>
      </w:r>
      <w:r w:rsidR="007E64BA" w:rsidRPr="008A0174">
        <w:rPr>
          <w:rStyle w:val="Hyperlink"/>
          <w:noProof/>
        </w:rPr>
        <w:t>Observation 1</w:t>
      </w:r>
      <w:r w:rsidR="007E64BA">
        <w:rPr>
          <w:rFonts w:eastAsiaTheme="minorEastAsia"/>
          <w:b w:val="0"/>
          <w:noProof/>
          <w:lang w:val="sv-SE" w:eastAsia="sv-SE"/>
        </w:rPr>
        <w:tab/>
      </w:r>
      <w:r w:rsidR="007E64BA" w:rsidRPr="008A0174">
        <w:rPr>
          <w:rStyle w:val="Hyperlink"/>
          <w:noProof/>
        </w:rPr>
        <w:t>For Case-6, the UL reception of an IAB-node is delayed due to the propagation delay of the child backhaul link and for Case-7, the UL reception of an IAB-node is delayed due to the propagation delay of the parent backhaul link.</w:t>
      </w:r>
      <w:r w:rsidR="007E64BA" w:rsidRPr="008A0174">
        <w:rPr>
          <w:rStyle w:val="Hyperlink"/>
          <w:noProof/>
        </w:rPr>
        <w:fldChar w:fldCharType="end"/>
      </w:r>
    </w:p>
    <w:p w14:paraId="3AD93E1A"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40" w:history="1">
        <w:r w:rsidRPr="008A0174">
          <w:rPr>
            <w:rStyle w:val="Hyperlink"/>
            <w:noProof/>
          </w:rPr>
          <w:t>Observation 2</w:t>
        </w:r>
        <w:r>
          <w:rPr>
            <w:rFonts w:eastAsiaTheme="minorEastAsia"/>
            <w:b w:val="0"/>
            <w:noProof/>
            <w:lang w:val="sv-SE" w:eastAsia="sv-SE"/>
          </w:rPr>
          <w:tab/>
        </w:r>
        <w:r w:rsidRPr="008A0174">
          <w:rPr>
            <w:rStyle w:val="Hyperlink"/>
            <w:noProof/>
          </w:rPr>
          <w:t>For both Case-6 and Case-7, a Rel-15 UE can have a negative timing advance for certain link conditions.</w:t>
        </w:r>
      </w:hyperlink>
    </w:p>
    <w:p w14:paraId="3B303A92"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41" w:history="1">
        <w:r w:rsidRPr="008A0174">
          <w:rPr>
            <w:rStyle w:val="Hyperlink"/>
            <w:noProof/>
          </w:rPr>
          <w:t>Observation 3</w:t>
        </w:r>
        <w:r>
          <w:rPr>
            <w:rFonts w:eastAsiaTheme="minorEastAsia"/>
            <w:b w:val="0"/>
            <w:noProof/>
            <w:lang w:val="sv-SE" w:eastAsia="sv-SE"/>
          </w:rPr>
          <w:tab/>
        </w:r>
        <w:r w:rsidRPr="008A0174">
          <w:rPr>
            <w:rStyle w:val="Hyperlink"/>
            <w:noProof/>
          </w:rPr>
          <w:t>A UE connected to an IAB-node that operates with timing aligned transmission or reception, may require a negative TA.</w:t>
        </w:r>
      </w:hyperlink>
    </w:p>
    <w:p w14:paraId="4443C5AF"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42" w:history="1">
        <w:r w:rsidRPr="008A0174">
          <w:rPr>
            <w:rStyle w:val="Hyperlink"/>
            <w:noProof/>
          </w:rPr>
          <w:t>Observation 4</w:t>
        </w:r>
        <w:r>
          <w:rPr>
            <w:rFonts w:eastAsiaTheme="minorEastAsia"/>
            <w:b w:val="0"/>
            <w:noProof/>
            <w:lang w:val="sv-SE" w:eastAsia="sv-SE"/>
          </w:rPr>
          <w:tab/>
        </w:r>
        <w:r w:rsidRPr="008A0174">
          <w:rPr>
            <w:rStyle w:val="Hyperlink"/>
            <w:noProof/>
          </w:rPr>
          <w:t>NR does not support Rel-15/16 UEs, connecting to an IAB-node operating with timing aligned transmission or reception, having a negative TA already during the RA phase. And as a consequence, such UEs might not be able to complete RA to IAB-node operating in a Case-6 or Case-7 timing configuration on access links.</w:t>
        </w:r>
      </w:hyperlink>
    </w:p>
    <w:p w14:paraId="7703B1D3"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43" w:history="1">
        <w:r w:rsidRPr="008A0174">
          <w:rPr>
            <w:rStyle w:val="Hyperlink"/>
            <w:noProof/>
          </w:rPr>
          <w:t>Observation 5</w:t>
        </w:r>
        <w:r>
          <w:rPr>
            <w:rFonts w:eastAsiaTheme="minorEastAsia"/>
            <w:b w:val="0"/>
            <w:noProof/>
            <w:lang w:val="sv-SE" w:eastAsia="sv-SE"/>
          </w:rPr>
          <w:tab/>
        </w:r>
        <w:r w:rsidRPr="008A0174">
          <w:rPr>
            <w:rStyle w:val="Hyperlink"/>
            <w:noProof/>
          </w:rPr>
          <w:t>In Case-7, no additional signaling is required to align the UL reception timing of an IAB-node to its DL reception timing.</w:t>
        </w:r>
      </w:hyperlink>
    </w:p>
    <w:p w14:paraId="63C9D107"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44" w:history="1">
        <w:r w:rsidRPr="008A0174">
          <w:rPr>
            <w:rStyle w:val="Hyperlink"/>
            <w:noProof/>
          </w:rPr>
          <w:t>Observation 6</w:t>
        </w:r>
        <w:r>
          <w:rPr>
            <w:rFonts w:eastAsiaTheme="minorEastAsia"/>
            <w:b w:val="0"/>
            <w:noProof/>
            <w:lang w:val="sv-SE" w:eastAsia="sv-SE"/>
          </w:rPr>
          <w:tab/>
        </w:r>
        <w:r w:rsidRPr="008A0174">
          <w:rPr>
            <w:rStyle w:val="Hyperlink"/>
            <w:noProof/>
          </w:rPr>
          <w:t>In Case-6, a T_delta-based OTA timing alignment does not require any principal change of method and signaling type compared to Case-1, only a new range specification.</w:t>
        </w:r>
      </w:hyperlink>
    </w:p>
    <w:p w14:paraId="5064F09A"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45" w:history="1">
        <w:r w:rsidRPr="008A0174">
          <w:rPr>
            <w:rStyle w:val="Hyperlink"/>
            <w:noProof/>
          </w:rPr>
          <w:t>Observation 7</w:t>
        </w:r>
        <w:r>
          <w:rPr>
            <w:rFonts w:eastAsiaTheme="minorEastAsia"/>
            <w:b w:val="0"/>
            <w:noProof/>
            <w:lang w:val="sv-SE" w:eastAsia="sv-SE"/>
          </w:rPr>
          <w:tab/>
        </w:r>
        <w:r w:rsidRPr="008A0174">
          <w:rPr>
            <w:rStyle w:val="Hyperlink"/>
            <w:noProof/>
          </w:rPr>
          <w:t>IAB-nodes transmitting in UL slots may jeopardize fundamental network functions on both the same and adjacent carriers.</w:t>
        </w:r>
      </w:hyperlink>
    </w:p>
    <w:p w14:paraId="4B6F35D6"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46" w:history="1">
        <w:r w:rsidRPr="008A0174">
          <w:rPr>
            <w:rStyle w:val="Hyperlink"/>
            <w:noProof/>
          </w:rPr>
          <w:t>Observation 8</w:t>
        </w:r>
        <w:r>
          <w:rPr>
            <w:rFonts w:eastAsiaTheme="minorEastAsia"/>
            <w:b w:val="0"/>
            <w:noProof/>
            <w:lang w:val="sv-SE" w:eastAsia="sv-SE"/>
          </w:rPr>
          <w:tab/>
        </w:r>
        <w:r w:rsidRPr="008A0174">
          <w:rPr>
            <w:rStyle w:val="Hyperlink"/>
            <w:noProof/>
          </w:rPr>
          <w:t>IAB-nodes transmitting in DL slots will mostly limit interference to within the IAB network.</w:t>
        </w:r>
      </w:hyperlink>
    </w:p>
    <w:p w14:paraId="0471302F"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47" w:history="1">
        <w:r w:rsidRPr="008A0174">
          <w:rPr>
            <w:rStyle w:val="Hyperlink"/>
            <w:noProof/>
          </w:rPr>
          <w:t>Observation 9</w:t>
        </w:r>
        <w:r>
          <w:rPr>
            <w:rFonts w:eastAsiaTheme="minorEastAsia"/>
            <w:b w:val="0"/>
            <w:noProof/>
            <w:lang w:val="sv-SE" w:eastAsia="sv-SE"/>
          </w:rPr>
          <w:tab/>
        </w:r>
        <w:r w:rsidRPr="008A0174">
          <w:rPr>
            <w:rStyle w:val="Hyperlink"/>
            <w:noProof/>
          </w:rPr>
          <w:t>Power control in DL broadcast signals and channels will affect cell coverage.</w:t>
        </w:r>
      </w:hyperlink>
    </w:p>
    <w:p w14:paraId="05521B99"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48" w:history="1">
        <w:r w:rsidRPr="008A0174">
          <w:rPr>
            <w:rStyle w:val="Hyperlink"/>
            <w:noProof/>
          </w:rPr>
          <w:t>Observation 10</w:t>
        </w:r>
        <w:r>
          <w:rPr>
            <w:rFonts w:eastAsiaTheme="minorEastAsia"/>
            <w:b w:val="0"/>
            <w:noProof/>
            <w:lang w:val="sv-SE" w:eastAsia="sv-SE"/>
          </w:rPr>
          <w:tab/>
        </w:r>
        <w:r w:rsidRPr="008A0174">
          <w:rPr>
            <w:rStyle w:val="Hyperlink"/>
            <w:noProof/>
          </w:rPr>
          <w:t>To suit all IAB-DU power control requirements would necessitate slot-by-slot or symbol-by-symbol power control which is infeasible.</w:t>
        </w:r>
      </w:hyperlink>
    </w:p>
    <w:bookmarkEnd w:id="27"/>
    <w:p w14:paraId="0A523A1A" w14:textId="39F9699D" w:rsidR="006E1C82" w:rsidRPr="00622AE0" w:rsidRDefault="006F6582" w:rsidP="0056199F">
      <w:pPr>
        <w:pStyle w:val="BodyText"/>
        <w:jc w:val="both"/>
      </w:pPr>
      <w:r w:rsidRPr="00622AE0">
        <w:fldChar w:fldCharType="end"/>
      </w:r>
    </w:p>
    <w:p w14:paraId="0F8B9E43" w14:textId="77777777" w:rsidR="006E1C82" w:rsidRPr="00622AE0" w:rsidRDefault="008E065E" w:rsidP="0056199F">
      <w:pPr>
        <w:pStyle w:val="BodyText"/>
        <w:jc w:val="both"/>
      </w:pPr>
      <w:r w:rsidRPr="00622AE0">
        <w:t xml:space="preserve">Based on the discussion in </w:t>
      </w:r>
      <w:r w:rsidR="007729A2" w:rsidRPr="00622AE0">
        <w:t xml:space="preserve">the previous </w:t>
      </w:r>
      <w:r w:rsidRPr="00622AE0">
        <w:t>section</w:t>
      </w:r>
      <w:r w:rsidR="007729A2" w:rsidRPr="00622AE0">
        <w:t>s</w:t>
      </w:r>
      <w:r w:rsidRPr="00622AE0">
        <w:t xml:space="preserve"> we propose the following:</w:t>
      </w:r>
    </w:p>
    <w:p w14:paraId="6DB86296" w14:textId="77777777" w:rsidR="007E64BA" w:rsidRDefault="006E1C82" w:rsidP="007E64BA">
      <w:pPr>
        <w:pStyle w:val="TableofFigures"/>
        <w:tabs>
          <w:tab w:val="right" w:leader="dot" w:pos="9629"/>
        </w:tabs>
        <w:jc w:val="both"/>
        <w:rPr>
          <w:rFonts w:eastAsiaTheme="minorEastAsia"/>
          <w:b w:val="0"/>
          <w:noProof/>
          <w:lang w:val="sv-SE" w:eastAsia="sv-SE"/>
        </w:rPr>
      </w:pPr>
      <w:r w:rsidRPr="00622AE0">
        <w:fldChar w:fldCharType="begin"/>
      </w:r>
      <w:r w:rsidRPr="00622AE0">
        <w:instrText xml:space="preserve"> TOC \n \h \z \t "Proposal" \c </w:instrText>
      </w:r>
      <w:r w:rsidRPr="00622AE0">
        <w:fldChar w:fldCharType="separate"/>
      </w:r>
      <w:hyperlink w:anchor="_Toc54383649" w:history="1">
        <w:r w:rsidR="007E64BA" w:rsidRPr="00665E6A">
          <w:rPr>
            <w:rStyle w:val="Hyperlink"/>
            <w:noProof/>
          </w:rPr>
          <w:t>Proposal 1</w:t>
        </w:r>
        <w:r w:rsidR="007E64BA">
          <w:rPr>
            <w:rFonts w:eastAsiaTheme="minorEastAsia"/>
            <w:b w:val="0"/>
            <w:noProof/>
            <w:lang w:val="sv-SE" w:eastAsia="sv-SE"/>
          </w:rPr>
          <w:tab/>
        </w:r>
        <w:r w:rsidR="007E64BA" w:rsidRPr="00665E6A">
          <w:rPr>
            <w:rStyle w:val="Hyperlink"/>
            <w:noProof/>
          </w:rPr>
          <w:t>Specification on simultaneous transmission or reception is limited to only consider operation on backhaul links.</w:t>
        </w:r>
      </w:hyperlink>
    </w:p>
    <w:p w14:paraId="55AAF453"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50" w:history="1">
        <w:r w:rsidRPr="00665E6A">
          <w:rPr>
            <w:rStyle w:val="Hyperlink"/>
            <w:noProof/>
          </w:rPr>
          <w:t>Proposal 2</w:t>
        </w:r>
        <w:r>
          <w:rPr>
            <w:rFonts w:eastAsiaTheme="minorEastAsia"/>
            <w:b w:val="0"/>
            <w:noProof/>
            <w:lang w:val="sv-SE" w:eastAsia="sv-SE"/>
          </w:rPr>
          <w:tab/>
        </w:r>
        <w:r w:rsidRPr="00665E6A">
          <w:rPr>
            <w:rStyle w:val="Hyperlink"/>
            <w:noProof/>
          </w:rPr>
          <w:t>Adopt Scenario 2 as defined in RAN4 (i.e., transmissions on BH links only in DL time slots) as baseline for studies related to simultaneous transmission or reception of IAB-nodes.</w:t>
        </w:r>
      </w:hyperlink>
    </w:p>
    <w:p w14:paraId="1A6BFA48"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51" w:history="1">
        <w:r w:rsidRPr="00665E6A">
          <w:rPr>
            <w:rStyle w:val="Hyperlink"/>
            <w:noProof/>
          </w:rPr>
          <w:t>Proposal 3</w:t>
        </w:r>
        <w:r>
          <w:rPr>
            <w:rFonts w:eastAsiaTheme="minorEastAsia"/>
            <w:b w:val="0"/>
            <w:noProof/>
            <w:lang w:val="sv-SE" w:eastAsia="sv-SE"/>
          </w:rPr>
          <w:tab/>
        </w:r>
        <w:r w:rsidRPr="00665E6A">
          <w:rPr>
            <w:rStyle w:val="Hyperlink"/>
            <w:noProof/>
          </w:rPr>
          <w:t>Adapt T_delta based Rel-16 Case-1 timing alignment as baseline for Case-6 timing synchronization.</w:t>
        </w:r>
      </w:hyperlink>
    </w:p>
    <w:p w14:paraId="3B6D65BD"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52" w:history="1">
        <w:r w:rsidRPr="00665E6A">
          <w:rPr>
            <w:rStyle w:val="Hyperlink"/>
            <w:noProof/>
            <w:lang w:eastAsia="ja-JP"/>
          </w:rPr>
          <w:t>Proposal 4</w:t>
        </w:r>
        <w:r>
          <w:rPr>
            <w:rFonts w:eastAsiaTheme="minorEastAsia"/>
            <w:b w:val="0"/>
            <w:noProof/>
            <w:lang w:val="sv-SE" w:eastAsia="sv-SE"/>
          </w:rPr>
          <w:tab/>
        </w:r>
        <w:r w:rsidRPr="00665E6A">
          <w:rPr>
            <w:rStyle w:val="Hyperlink"/>
            <w:noProof/>
          </w:rPr>
          <w:t>Interference caused by operation of IAB-nodes is assessed in relation to the interference if the IAB-node was an ordinary gNB.</w:t>
        </w:r>
      </w:hyperlink>
    </w:p>
    <w:p w14:paraId="6EE4C55F"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53" w:history="1">
        <w:r w:rsidRPr="00665E6A">
          <w:rPr>
            <w:rStyle w:val="Hyperlink"/>
            <w:noProof/>
            <w:lang w:eastAsia="sv-SE"/>
          </w:rPr>
          <w:t>Proposal 5</w:t>
        </w:r>
        <w:r>
          <w:rPr>
            <w:rFonts w:eastAsiaTheme="minorEastAsia"/>
            <w:b w:val="0"/>
            <w:noProof/>
            <w:lang w:val="sv-SE" w:eastAsia="sv-SE"/>
          </w:rPr>
          <w:tab/>
        </w:r>
        <w:r w:rsidRPr="00665E6A">
          <w:rPr>
            <w:rStyle w:val="Hyperlink"/>
            <w:noProof/>
            <w:lang w:eastAsia="sv-SE"/>
          </w:rPr>
          <w:t>Limit IAB-node transmissions to DL slots.</w:t>
        </w:r>
      </w:hyperlink>
    </w:p>
    <w:p w14:paraId="5974B2D0"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54" w:history="1">
        <w:r w:rsidRPr="00665E6A">
          <w:rPr>
            <w:rStyle w:val="Hyperlink"/>
            <w:noProof/>
            <w:lang w:eastAsia="sv-SE"/>
          </w:rPr>
          <w:t>Proposal 6</w:t>
        </w:r>
        <w:r>
          <w:rPr>
            <w:rFonts w:eastAsiaTheme="minorEastAsia"/>
            <w:b w:val="0"/>
            <w:noProof/>
            <w:lang w:val="sv-SE" w:eastAsia="sv-SE"/>
          </w:rPr>
          <w:tab/>
        </w:r>
        <w:r w:rsidRPr="00665E6A">
          <w:rPr>
            <w:rStyle w:val="Hyperlink"/>
            <w:noProof/>
            <w:lang w:eastAsia="sv-SE"/>
          </w:rPr>
          <w:t>Adopt RAN4’s Scenario 2 for Rel-17.</w:t>
        </w:r>
      </w:hyperlink>
    </w:p>
    <w:p w14:paraId="6CFCC594"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55" w:history="1">
        <w:r w:rsidRPr="00665E6A">
          <w:rPr>
            <w:rStyle w:val="Hyperlink"/>
            <w:noProof/>
          </w:rPr>
          <w:t>Proposal 7</w:t>
        </w:r>
        <w:r>
          <w:rPr>
            <w:rFonts w:eastAsiaTheme="minorEastAsia"/>
            <w:b w:val="0"/>
            <w:noProof/>
            <w:lang w:val="sv-SE" w:eastAsia="sv-SE"/>
          </w:rPr>
          <w:tab/>
        </w:r>
        <w:r w:rsidRPr="00665E6A">
          <w:rPr>
            <w:rStyle w:val="Hyperlink"/>
            <w:noProof/>
          </w:rPr>
          <w:t>The specification should allow for different IAB-MT power control capabilities, considering existing and future HW architectures.</w:t>
        </w:r>
      </w:hyperlink>
    </w:p>
    <w:p w14:paraId="3834ADCF"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56" w:history="1">
        <w:r w:rsidRPr="00665E6A">
          <w:rPr>
            <w:rStyle w:val="Hyperlink"/>
            <w:noProof/>
            <w:lang w:eastAsia="ja-JP"/>
          </w:rPr>
          <w:t>Proposal 8</w:t>
        </w:r>
        <w:r>
          <w:rPr>
            <w:rFonts w:eastAsiaTheme="minorEastAsia"/>
            <w:b w:val="0"/>
            <w:noProof/>
            <w:lang w:val="sv-SE" w:eastAsia="sv-SE"/>
          </w:rPr>
          <w:tab/>
        </w:r>
        <w:r w:rsidRPr="00665E6A">
          <w:rPr>
            <w:rStyle w:val="Hyperlink"/>
            <w:noProof/>
            <w:lang w:eastAsia="ja-JP"/>
          </w:rPr>
          <w:t>DL power control is optional for IAB-DU.</w:t>
        </w:r>
      </w:hyperlink>
    </w:p>
    <w:p w14:paraId="57FCBF88" w14:textId="77777777" w:rsidR="007E64BA" w:rsidRDefault="007E64BA" w:rsidP="007E64BA">
      <w:pPr>
        <w:pStyle w:val="TableofFigures"/>
        <w:tabs>
          <w:tab w:val="right" w:leader="dot" w:pos="9629"/>
        </w:tabs>
        <w:jc w:val="both"/>
        <w:rPr>
          <w:rFonts w:eastAsiaTheme="minorEastAsia"/>
          <w:b w:val="0"/>
          <w:noProof/>
          <w:lang w:val="sv-SE" w:eastAsia="sv-SE"/>
        </w:rPr>
      </w:pPr>
      <w:hyperlink w:anchor="_Toc54383657" w:history="1">
        <w:r w:rsidRPr="00665E6A">
          <w:rPr>
            <w:rStyle w:val="Hyperlink"/>
            <w:noProof/>
            <w:lang w:eastAsia="ja-JP"/>
          </w:rPr>
          <w:t>Proposal 9</w:t>
        </w:r>
        <w:r>
          <w:rPr>
            <w:rFonts w:eastAsiaTheme="minorEastAsia"/>
            <w:b w:val="0"/>
            <w:noProof/>
            <w:lang w:val="sv-SE" w:eastAsia="sv-SE"/>
          </w:rPr>
          <w:tab/>
        </w:r>
        <w:r w:rsidRPr="00665E6A">
          <w:rPr>
            <w:rStyle w:val="Hyperlink"/>
            <w:noProof/>
            <w:lang w:eastAsia="ja-JP"/>
          </w:rPr>
          <w:t>Further study DL power control for PDCCH and PDSCH.</w:t>
        </w:r>
      </w:hyperlink>
    </w:p>
    <w:p w14:paraId="7D4614A5" w14:textId="164C9C60" w:rsidR="006E1C82" w:rsidRPr="00622AE0" w:rsidRDefault="006E1C82" w:rsidP="0056199F">
      <w:pPr>
        <w:pStyle w:val="BodyText"/>
        <w:jc w:val="both"/>
      </w:pPr>
      <w:r w:rsidRPr="00622AE0">
        <w:fldChar w:fldCharType="end"/>
      </w:r>
      <w:r w:rsidRPr="00622AE0">
        <w:t xml:space="preserve"> </w:t>
      </w:r>
    </w:p>
    <w:p w14:paraId="72172EF6" w14:textId="77777777" w:rsidR="00C01F33" w:rsidRPr="00622AE0" w:rsidRDefault="00C01F33" w:rsidP="0056199F">
      <w:pPr>
        <w:jc w:val="both"/>
      </w:pPr>
    </w:p>
    <w:p w14:paraId="7E718661" w14:textId="77777777" w:rsidR="00F507D1" w:rsidRPr="00622AE0" w:rsidRDefault="00F507D1" w:rsidP="0056199F">
      <w:pPr>
        <w:pStyle w:val="Heading1"/>
        <w:numPr>
          <w:ilvl w:val="0"/>
          <w:numId w:val="0"/>
        </w:numPr>
        <w:jc w:val="both"/>
        <w:rPr>
          <w:lang w:val="en-US"/>
        </w:rPr>
      </w:pPr>
      <w:bookmarkStart w:id="28" w:name="_In-sequence_SDU_delivery"/>
      <w:bookmarkEnd w:id="28"/>
      <w:r w:rsidRPr="00622AE0">
        <w:rPr>
          <w:lang w:val="en-US"/>
        </w:rPr>
        <w:t>References</w:t>
      </w:r>
    </w:p>
    <w:bookmarkStart w:id="29" w:name="_Ref47522354"/>
    <w:bookmarkStart w:id="30" w:name="_Ref174151459"/>
    <w:bookmarkStart w:id="31" w:name="_Ref189809556"/>
    <w:p w14:paraId="5900BE34" w14:textId="2A9DE598" w:rsidR="007819F0" w:rsidRPr="00622AE0" w:rsidRDefault="007819F0" w:rsidP="0056199F">
      <w:pPr>
        <w:pStyle w:val="Reference"/>
        <w:jc w:val="both"/>
      </w:pPr>
      <w:r w:rsidRPr="00622AE0">
        <w:fldChar w:fldCharType="begin"/>
      </w:r>
      <w:r w:rsidRPr="00622AE0">
        <w:instrText xml:space="preserve"> HYPERLINK "https://www.3gpp.org/ftp/tsg_ran/TSG_RAN/TSGR_88e/Docs/RP-201293.zip" </w:instrText>
      </w:r>
      <w:r w:rsidRPr="00622AE0">
        <w:fldChar w:fldCharType="separate"/>
      </w:r>
      <w:r w:rsidRPr="00622AE0">
        <w:rPr>
          <w:rStyle w:val="Hyperlink"/>
        </w:rPr>
        <w:t>RP-201293</w:t>
      </w:r>
      <w:r w:rsidRPr="00622AE0">
        <w:fldChar w:fldCharType="end"/>
      </w:r>
      <w:r w:rsidRPr="00622AE0">
        <w:t>, “Enhancements to Integrated Access and Backhaul for NR,” Qualcomm, RAN Plenary #88-e, June 2020.</w:t>
      </w:r>
      <w:bookmarkEnd w:id="29"/>
    </w:p>
    <w:p w14:paraId="0C8DB9B8" w14:textId="77777777" w:rsidR="007819F0" w:rsidRPr="00622AE0" w:rsidRDefault="007819F0" w:rsidP="0056199F">
      <w:pPr>
        <w:pStyle w:val="Reference"/>
        <w:jc w:val="both"/>
      </w:pPr>
      <w:bookmarkStart w:id="32" w:name="_Ref53085374"/>
      <w:r w:rsidRPr="00622AE0">
        <w:rPr>
          <w:rFonts w:cs="Arial"/>
        </w:rPr>
        <w:t>Chairman’s Notes, 3GPP TSG RAN WG1 Meeting #102e, August 2020.</w:t>
      </w:r>
      <w:bookmarkEnd w:id="32"/>
    </w:p>
    <w:p w14:paraId="77A362D4" w14:textId="77777777" w:rsidR="007819F0" w:rsidRPr="00622AE0" w:rsidRDefault="007819F0" w:rsidP="0056199F">
      <w:pPr>
        <w:pStyle w:val="Reference"/>
        <w:jc w:val="both"/>
      </w:pPr>
      <w:bookmarkStart w:id="33" w:name="_Ref47604207"/>
      <w:r w:rsidRPr="00622AE0">
        <w:t>3GPP TS 38.213, V16.1.0, Physical layer procedures for control.</w:t>
      </w:r>
      <w:bookmarkEnd w:id="33"/>
    </w:p>
    <w:p w14:paraId="521351CE" w14:textId="77777777" w:rsidR="007819F0" w:rsidRPr="00622AE0" w:rsidRDefault="007819F0" w:rsidP="0056199F">
      <w:pPr>
        <w:pStyle w:val="Reference"/>
        <w:jc w:val="both"/>
      </w:pPr>
      <w:bookmarkStart w:id="34" w:name="_Ref39691460"/>
      <w:bookmarkStart w:id="35" w:name="_Ref40465669"/>
      <w:r w:rsidRPr="00622AE0">
        <w:t>3GPP TR 38.874, V16.0.0, Study on Integrated Access and Backhaul</w:t>
      </w:r>
      <w:bookmarkEnd w:id="34"/>
      <w:r w:rsidRPr="00622AE0">
        <w:t>.</w:t>
      </w:r>
      <w:bookmarkEnd w:id="35"/>
    </w:p>
    <w:bookmarkStart w:id="36" w:name="_Ref47607826"/>
    <w:p w14:paraId="4A36302A" w14:textId="1417CBCB" w:rsidR="007819F0" w:rsidRPr="00622AE0" w:rsidRDefault="007819F0" w:rsidP="0056199F">
      <w:pPr>
        <w:pStyle w:val="Reference"/>
        <w:jc w:val="both"/>
      </w:pPr>
      <w:r w:rsidRPr="00622AE0">
        <w:fldChar w:fldCharType="begin"/>
      </w:r>
      <w:r w:rsidRPr="00622AE0">
        <w:instrText xml:space="preserve"> HYPERLINK "https://www.3gpp.org/ftp/tsg_ran/WG4_Radio/TSGR4_90Bis/Docs/R4-1905105.zip" </w:instrText>
      </w:r>
      <w:r w:rsidRPr="00622AE0">
        <w:fldChar w:fldCharType="separate"/>
      </w:r>
      <w:r w:rsidRPr="00622AE0">
        <w:rPr>
          <w:rStyle w:val="Hyperlink"/>
        </w:rPr>
        <w:t>R4-1905105</w:t>
      </w:r>
      <w:r w:rsidRPr="00622AE0">
        <w:fldChar w:fldCharType="end"/>
      </w:r>
      <w:r w:rsidRPr="00622AE0">
        <w:t>, “Summary of the IAB scenario”, Ericsson, RAN4 #90bis, April 2019.</w:t>
      </w:r>
      <w:bookmarkEnd w:id="36"/>
    </w:p>
    <w:bookmarkEnd w:id="30"/>
    <w:bookmarkEnd w:id="31"/>
    <w:p w14:paraId="2CD75387" w14:textId="36DCE351" w:rsidR="003A7EF3" w:rsidRPr="00622AE0" w:rsidRDefault="00990B32" w:rsidP="0056199F">
      <w:pPr>
        <w:pStyle w:val="Reference"/>
        <w:jc w:val="both"/>
      </w:pPr>
      <w:r w:rsidRPr="00622AE0">
        <w:t>R1-2005953, “Measurement results for IAB multi-panel transmission and reception”, AT&amp;T, 3GPP TSG RAN WG1 #102-e, August 2020.</w:t>
      </w:r>
    </w:p>
    <w:sectPr w:rsidR="003A7EF3" w:rsidRPr="00622AE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8A57" w16cex:dateUtc="2020-10-23T14:59:00Z"/>
  <w16cex:commentExtensible w16cex:durableId="233C2A15" w16cex:dateUtc="2020-10-22T13: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A2460" w14:textId="77777777" w:rsidR="00817A2A" w:rsidRDefault="00817A2A" w:rsidP="00A575AC">
      <w:r>
        <w:separator/>
      </w:r>
    </w:p>
    <w:p w14:paraId="37325702" w14:textId="77777777" w:rsidR="00817A2A" w:rsidRDefault="00817A2A" w:rsidP="00A575AC"/>
  </w:endnote>
  <w:endnote w:type="continuationSeparator" w:id="0">
    <w:p w14:paraId="4C90C65F" w14:textId="77777777" w:rsidR="00817A2A" w:rsidRDefault="00817A2A" w:rsidP="00A575AC">
      <w:r>
        <w:continuationSeparator/>
      </w:r>
    </w:p>
    <w:p w14:paraId="69171834" w14:textId="77777777" w:rsidR="00817A2A" w:rsidRDefault="00817A2A" w:rsidP="00A575AC"/>
  </w:endnote>
  <w:endnote w:type="continuationNotice" w:id="1">
    <w:p w14:paraId="7F27068F" w14:textId="77777777" w:rsidR="00817A2A" w:rsidRDefault="00817A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EBB2F" w14:textId="77777777" w:rsidR="00817A2A" w:rsidRDefault="00817A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C0D52" w14:textId="77777777" w:rsidR="00817A2A" w:rsidRDefault="00817A2A" w:rsidP="00A575AC">
      <w:r>
        <w:separator/>
      </w:r>
    </w:p>
    <w:p w14:paraId="63A7CA58" w14:textId="77777777" w:rsidR="00817A2A" w:rsidRDefault="00817A2A" w:rsidP="00A575AC"/>
  </w:footnote>
  <w:footnote w:type="continuationSeparator" w:id="0">
    <w:p w14:paraId="2885B6F7" w14:textId="77777777" w:rsidR="00817A2A" w:rsidRDefault="00817A2A" w:rsidP="00A575AC">
      <w:r>
        <w:continuationSeparator/>
      </w:r>
    </w:p>
    <w:p w14:paraId="2CC8E145" w14:textId="77777777" w:rsidR="00817A2A" w:rsidRDefault="00817A2A" w:rsidP="00A575AC"/>
  </w:footnote>
  <w:footnote w:type="continuationNotice" w:id="1">
    <w:p w14:paraId="3ABFACE2" w14:textId="77777777" w:rsidR="00817A2A" w:rsidRDefault="00817A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A6704" w14:textId="77777777" w:rsidR="00817A2A" w:rsidRDefault="00817A2A"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E0F837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3E103BEC">
      <w:start w:val="1"/>
      <w:numFmt w:val="lowerRoman"/>
      <w:pStyle w:val="ListNumber3"/>
      <w:lvlText w:val="%1."/>
      <w:lvlJc w:val="right"/>
      <w:pPr>
        <w:ind w:left="926" w:hanging="360"/>
      </w:pPr>
    </w:lvl>
    <w:lvl w:ilvl="1" w:tplc="393AB340">
      <w:numFmt w:val="decimal"/>
      <w:lvlText w:val=""/>
      <w:lvlJc w:val="left"/>
    </w:lvl>
    <w:lvl w:ilvl="2" w:tplc="27EAA36C">
      <w:numFmt w:val="decimal"/>
      <w:lvlText w:val=""/>
      <w:lvlJc w:val="left"/>
    </w:lvl>
    <w:lvl w:ilvl="3" w:tplc="0666F970">
      <w:numFmt w:val="decimal"/>
      <w:lvlText w:val=""/>
      <w:lvlJc w:val="left"/>
    </w:lvl>
    <w:lvl w:ilvl="4" w:tplc="F3161FDA">
      <w:numFmt w:val="decimal"/>
      <w:lvlText w:val=""/>
      <w:lvlJc w:val="left"/>
    </w:lvl>
    <w:lvl w:ilvl="5" w:tplc="71AC520C">
      <w:numFmt w:val="decimal"/>
      <w:lvlText w:val=""/>
      <w:lvlJc w:val="left"/>
    </w:lvl>
    <w:lvl w:ilvl="6" w:tplc="F0E8A22A">
      <w:numFmt w:val="decimal"/>
      <w:lvlText w:val=""/>
      <w:lvlJc w:val="left"/>
    </w:lvl>
    <w:lvl w:ilvl="7" w:tplc="8D3C9F3E">
      <w:numFmt w:val="decimal"/>
      <w:lvlText w:val=""/>
      <w:lvlJc w:val="left"/>
    </w:lvl>
    <w:lvl w:ilvl="8" w:tplc="7B56FBCC">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B14D95"/>
    <w:multiLevelType w:val="hybridMultilevel"/>
    <w:tmpl w:val="228A7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D4220B"/>
    <w:multiLevelType w:val="hybridMultilevel"/>
    <w:tmpl w:val="5890EB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2A3246"/>
    <w:multiLevelType w:val="hybridMultilevel"/>
    <w:tmpl w:val="BD607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93070"/>
    <w:multiLevelType w:val="hybridMultilevel"/>
    <w:tmpl w:val="F16C4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4F2E48"/>
    <w:multiLevelType w:val="hybridMultilevel"/>
    <w:tmpl w:val="79AC160E"/>
    <w:lvl w:ilvl="0" w:tplc="188AB278">
      <w:start w:val="1"/>
      <w:numFmt w:val="decimal"/>
      <w:lvlText w:val="%1."/>
      <w:lvlJc w:val="left"/>
      <w:pPr>
        <w:tabs>
          <w:tab w:val="num" w:pos="720"/>
        </w:tabs>
        <w:ind w:left="720" w:hanging="360"/>
      </w:pPr>
    </w:lvl>
    <w:lvl w:ilvl="1" w:tplc="496AE766" w:tentative="1">
      <w:start w:val="1"/>
      <w:numFmt w:val="decimal"/>
      <w:lvlText w:val="%2."/>
      <w:lvlJc w:val="left"/>
      <w:pPr>
        <w:tabs>
          <w:tab w:val="num" w:pos="1440"/>
        </w:tabs>
        <w:ind w:left="1440" w:hanging="360"/>
      </w:pPr>
    </w:lvl>
    <w:lvl w:ilvl="2" w:tplc="EC8A0BF2" w:tentative="1">
      <w:start w:val="1"/>
      <w:numFmt w:val="decimal"/>
      <w:lvlText w:val="%3."/>
      <w:lvlJc w:val="left"/>
      <w:pPr>
        <w:tabs>
          <w:tab w:val="num" w:pos="2160"/>
        </w:tabs>
        <w:ind w:left="2160" w:hanging="360"/>
      </w:pPr>
    </w:lvl>
    <w:lvl w:ilvl="3" w:tplc="99EC7B56" w:tentative="1">
      <w:start w:val="1"/>
      <w:numFmt w:val="decimal"/>
      <w:lvlText w:val="%4."/>
      <w:lvlJc w:val="left"/>
      <w:pPr>
        <w:tabs>
          <w:tab w:val="num" w:pos="2880"/>
        </w:tabs>
        <w:ind w:left="2880" w:hanging="360"/>
      </w:pPr>
    </w:lvl>
    <w:lvl w:ilvl="4" w:tplc="0AAEFD56" w:tentative="1">
      <w:start w:val="1"/>
      <w:numFmt w:val="decimal"/>
      <w:lvlText w:val="%5."/>
      <w:lvlJc w:val="left"/>
      <w:pPr>
        <w:tabs>
          <w:tab w:val="num" w:pos="3600"/>
        </w:tabs>
        <w:ind w:left="3600" w:hanging="360"/>
      </w:pPr>
    </w:lvl>
    <w:lvl w:ilvl="5" w:tplc="77CE7452" w:tentative="1">
      <w:start w:val="1"/>
      <w:numFmt w:val="decimal"/>
      <w:lvlText w:val="%6."/>
      <w:lvlJc w:val="left"/>
      <w:pPr>
        <w:tabs>
          <w:tab w:val="num" w:pos="4320"/>
        </w:tabs>
        <w:ind w:left="4320" w:hanging="360"/>
      </w:pPr>
    </w:lvl>
    <w:lvl w:ilvl="6" w:tplc="ED289AB0" w:tentative="1">
      <w:start w:val="1"/>
      <w:numFmt w:val="decimal"/>
      <w:lvlText w:val="%7."/>
      <w:lvlJc w:val="left"/>
      <w:pPr>
        <w:tabs>
          <w:tab w:val="num" w:pos="5040"/>
        </w:tabs>
        <w:ind w:left="5040" w:hanging="360"/>
      </w:pPr>
    </w:lvl>
    <w:lvl w:ilvl="7" w:tplc="DDFC8A9A" w:tentative="1">
      <w:start w:val="1"/>
      <w:numFmt w:val="decimal"/>
      <w:lvlText w:val="%8."/>
      <w:lvlJc w:val="left"/>
      <w:pPr>
        <w:tabs>
          <w:tab w:val="num" w:pos="5760"/>
        </w:tabs>
        <w:ind w:left="5760" w:hanging="360"/>
      </w:pPr>
    </w:lvl>
    <w:lvl w:ilvl="8" w:tplc="97C02A4E" w:tentative="1">
      <w:start w:val="1"/>
      <w:numFmt w:val="decimal"/>
      <w:lvlText w:val="%9."/>
      <w:lvlJc w:val="left"/>
      <w:pPr>
        <w:tabs>
          <w:tab w:val="num" w:pos="6480"/>
        </w:tabs>
        <w:ind w:left="6480" w:hanging="360"/>
      </w:pPr>
    </w:lvl>
  </w:abstractNum>
  <w:abstractNum w:abstractNumId="21" w15:restartNumberingAfterBreak="0">
    <w:nsid w:val="4AFC6349"/>
    <w:multiLevelType w:val="hybridMultilevel"/>
    <w:tmpl w:val="86005738"/>
    <w:lvl w:ilvl="0" w:tplc="89726B66">
      <w:start w:val="3"/>
      <w:numFmt w:val="decimal"/>
      <w:lvlText w:val="%1."/>
      <w:lvlJc w:val="left"/>
      <w:pPr>
        <w:tabs>
          <w:tab w:val="num" w:pos="720"/>
        </w:tabs>
        <w:ind w:left="720" w:hanging="360"/>
      </w:pPr>
    </w:lvl>
    <w:lvl w:ilvl="1" w:tplc="94A041A2" w:tentative="1">
      <w:start w:val="1"/>
      <w:numFmt w:val="decimal"/>
      <w:lvlText w:val="%2."/>
      <w:lvlJc w:val="left"/>
      <w:pPr>
        <w:tabs>
          <w:tab w:val="num" w:pos="1440"/>
        </w:tabs>
        <w:ind w:left="1440" w:hanging="360"/>
      </w:pPr>
    </w:lvl>
    <w:lvl w:ilvl="2" w:tplc="3EF225EC" w:tentative="1">
      <w:start w:val="1"/>
      <w:numFmt w:val="decimal"/>
      <w:lvlText w:val="%3."/>
      <w:lvlJc w:val="left"/>
      <w:pPr>
        <w:tabs>
          <w:tab w:val="num" w:pos="2160"/>
        </w:tabs>
        <w:ind w:left="2160" w:hanging="360"/>
      </w:pPr>
    </w:lvl>
    <w:lvl w:ilvl="3" w:tplc="120EF8BA" w:tentative="1">
      <w:start w:val="1"/>
      <w:numFmt w:val="decimal"/>
      <w:lvlText w:val="%4."/>
      <w:lvlJc w:val="left"/>
      <w:pPr>
        <w:tabs>
          <w:tab w:val="num" w:pos="2880"/>
        </w:tabs>
        <w:ind w:left="2880" w:hanging="360"/>
      </w:pPr>
    </w:lvl>
    <w:lvl w:ilvl="4" w:tplc="8F0AF1F2" w:tentative="1">
      <w:start w:val="1"/>
      <w:numFmt w:val="decimal"/>
      <w:lvlText w:val="%5."/>
      <w:lvlJc w:val="left"/>
      <w:pPr>
        <w:tabs>
          <w:tab w:val="num" w:pos="3600"/>
        </w:tabs>
        <w:ind w:left="3600" w:hanging="360"/>
      </w:pPr>
    </w:lvl>
    <w:lvl w:ilvl="5" w:tplc="71623920" w:tentative="1">
      <w:start w:val="1"/>
      <w:numFmt w:val="decimal"/>
      <w:lvlText w:val="%6."/>
      <w:lvlJc w:val="left"/>
      <w:pPr>
        <w:tabs>
          <w:tab w:val="num" w:pos="4320"/>
        </w:tabs>
        <w:ind w:left="4320" w:hanging="360"/>
      </w:pPr>
    </w:lvl>
    <w:lvl w:ilvl="6" w:tplc="C8367048" w:tentative="1">
      <w:start w:val="1"/>
      <w:numFmt w:val="decimal"/>
      <w:lvlText w:val="%7."/>
      <w:lvlJc w:val="left"/>
      <w:pPr>
        <w:tabs>
          <w:tab w:val="num" w:pos="5040"/>
        </w:tabs>
        <w:ind w:left="5040" w:hanging="360"/>
      </w:pPr>
    </w:lvl>
    <w:lvl w:ilvl="7" w:tplc="0C9042F0" w:tentative="1">
      <w:start w:val="1"/>
      <w:numFmt w:val="decimal"/>
      <w:lvlText w:val="%8."/>
      <w:lvlJc w:val="left"/>
      <w:pPr>
        <w:tabs>
          <w:tab w:val="num" w:pos="5760"/>
        </w:tabs>
        <w:ind w:left="5760" w:hanging="360"/>
      </w:pPr>
    </w:lvl>
    <w:lvl w:ilvl="8" w:tplc="843A213C" w:tentative="1">
      <w:start w:val="1"/>
      <w:numFmt w:val="decimal"/>
      <w:lvlText w:val="%9."/>
      <w:lvlJc w:val="left"/>
      <w:pPr>
        <w:tabs>
          <w:tab w:val="num" w:pos="6480"/>
        </w:tabs>
        <w:ind w:left="6480" w:hanging="36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55243B"/>
    <w:multiLevelType w:val="hybridMultilevel"/>
    <w:tmpl w:val="8570902C"/>
    <w:lvl w:ilvl="0" w:tplc="B892650C">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E45FF8"/>
    <w:multiLevelType w:val="hybridMultilevel"/>
    <w:tmpl w:val="FBD24FC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7"/>
  </w:num>
  <w:num w:numId="5">
    <w:abstractNumId w:val="11"/>
  </w:num>
  <w:num w:numId="6">
    <w:abstractNumId w:val="19"/>
  </w:num>
  <w:num w:numId="7">
    <w:abstractNumId w:val="26"/>
  </w:num>
  <w:num w:numId="8">
    <w:abstractNumId w:val="12"/>
  </w:num>
  <w:num w:numId="9">
    <w:abstractNumId w:val="9"/>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5"/>
  </w:num>
  <w:num w:numId="18">
    <w:abstractNumId w:val="8"/>
  </w:num>
  <w:num w:numId="19">
    <w:abstractNumId w:val="4"/>
  </w:num>
  <w:num w:numId="20">
    <w:abstractNumId w:val="30"/>
  </w:num>
  <w:num w:numId="21">
    <w:abstractNumId w:val="13"/>
  </w:num>
  <w:num w:numId="22">
    <w:abstractNumId w:val="29"/>
  </w:num>
  <w:num w:numId="23">
    <w:abstractNumId w:val="28"/>
  </w:num>
  <w:num w:numId="24">
    <w:abstractNumId w:val="10"/>
  </w:num>
  <w:num w:numId="25">
    <w:abstractNumId w:val="25"/>
  </w:num>
  <w:num w:numId="26">
    <w:abstractNumId w:val="31"/>
  </w:num>
  <w:num w:numId="27">
    <w:abstractNumId w:val="6"/>
  </w:num>
  <w:num w:numId="28">
    <w:abstractNumId w:val="14"/>
  </w:num>
  <w:num w:numId="29">
    <w:abstractNumId w:val="16"/>
  </w:num>
  <w:num w:numId="30">
    <w:abstractNumId w:val="7"/>
  </w:num>
  <w:num w:numId="31">
    <w:abstractNumId w:val="20"/>
  </w:num>
  <w:num w:numId="32">
    <w:abstractNumId w:val="21"/>
  </w:num>
  <w:num w:numId="33">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4A"/>
    <w:rsid w:val="000006E1"/>
    <w:rsid w:val="000017A1"/>
    <w:rsid w:val="00002A37"/>
    <w:rsid w:val="00005005"/>
    <w:rsid w:val="0000564C"/>
    <w:rsid w:val="0000590A"/>
    <w:rsid w:val="00006446"/>
    <w:rsid w:val="00006896"/>
    <w:rsid w:val="00006BEE"/>
    <w:rsid w:val="00007CDC"/>
    <w:rsid w:val="0001143E"/>
    <w:rsid w:val="00011B28"/>
    <w:rsid w:val="00011C1F"/>
    <w:rsid w:val="00014809"/>
    <w:rsid w:val="000148D4"/>
    <w:rsid w:val="00015D15"/>
    <w:rsid w:val="000200AC"/>
    <w:rsid w:val="000229E3"/>
    <w:rsid w:val="0002564D"/>
    <w:rsid w:val="00025ECA"/>
    <w:rsid w:val="00026501"/>
    <w:rsid w:val="00030FFC"/>
    <w:rsid w:val="0003216A"/>
    <w:rsid w:val="000325B8"/>
    <w:rsid w:val="00032A73"/>
    <w:rsid w:val="0003437D"/>
    <w:rsid w:val="00034609"/>
    <w:rsid w:val="00034C15"/>
    <w:rsid w:val="0003504A"/>
    <w:rsid w:val="00036BA1"/>
    <w:rsid w:val="00041658"/>
    <w:rsid w:val="00041F94"/>
    <w:rsid w:val="000422E2"/>
    <w:rsid w:val="00042F22"/>
    <w:rsid w:val="0004395C"/>
    <w:rsid w:val="000444EF"/>
    <w:rsid w:val="00045794"/>
    <w:rsid w:val="00047F4B"/>
    <w:rsid w:val="00047FD9"/>
    <w:rsid w:val="00050D57"/>
    <w:rsid w:val="00051431"/>
    <w:rsid w:val="000526CD"/>
    <w:rsid w:val="00052A07"/>
    <w:rsid w:val="000531CD"/>
    <w:rsid w:val="000534E3"/>
    <w:rsid w:val="0005606A"/>
    <w:rsid w:val="00057117"/>
    <w:rsid w:val="00057671"/>
    <w:rsid w:val="00060CCF"/>
    <w:rsid w:val="000616E7"/>
    <w:rsid w:val="00062749"/>
    <w:rsid w:val="0006426B"/>
    <w:rsid w:val="0006487E"/>
    <w:rsid w:val="00065E1A"/>
    <w:rsid w:val="0007111A"/>
    <w:rsid w:val="00071F5A"/>
    <w:rsid w:val="00072736"/>
    <w:rsid w:val="00073A80"/>
    <w:rsid w:val="0007656C"/>
    <w:rsid w:val="00076B36"/>
    <w:rsid w:val="00077E5F"/>
    <w:rsid w:val="0008036A"/>
    <w:rsid w:val="000805CD"/>
    <w:rsid w:val="00081AE6"/>
    <w:rsid w:val="00081C91"/>
    <w:rsid w:val="0008293C"/>
    <w:rsid w:val="00083527"/>
    <w:rsid w:val="000837E6"/>
    <w:rsid w:val="000846E6"/>
    <w:rsid w:val="00084ABD"/>
    <w:rsid w:val="00084B7F"/>
    <w:rsid w:val="000855EB"/>
    <w:rsid w:val="00085B34"/>
    <w:rsid w:val="00085B52"/>
    <w:rsid w:val="000863A4"/>
    <w:rsid w:val="000866F2"/>
    <w:rsid w:val="0009009F"/>
    <w:rsid w:val="00090305"/>
    <w:rsid w:val="000907EB"/>
    <w:rsid w:val="00091557"/>
    <w:rsid w:val="000924C1"/>
    <w:rsid w:val="000924F0"/>
    <w:rsid w:val="00093474"/>
    <w:rsid w:val="00094B91"/>
    <w:rsid w:val="0009510F"/>
    <w:rsid w:val="000957C1"/>
    <w:rsid w:val="000973AE"/>
    <w:rsid w:val="000A1B7B"/>
    <w:rsid w:val="000A1CD3"/>
    <w:rsid w:val="000A2780"/>
    <w:rsid w:val="000A29F9"/>
    <w:rsid w:val="000A4962"/>
    <w:rsid w:val="000A56F2"/>
    <w:rsid w:val="000A6AE0"/>
    <w:rsid w:val="000A784D"/>
    <w:rsid w:val="000B1679"/>
    <w:rsid w:val="000B18F8"/>
    <w:rsid w:val="000B23E0"/>
    <w:rsid w:val="000B2567"/>
    <w:rsid w:val="000B2719"/>
    <w:rsid w:val="000B3222"/>
    <w:rsid w:val="000B3A8F"/>
    <w:rsid w:val="000B4254"/>
    <w:rsid w:val="000B4AB9"/>
    <w:rsid w:val="000B4F66"/>
    <w:rsid w:val="000B58C3"/>
    <w:rsid w:val="000B6006"/>
    <w:rsid w:val="000B61E9"/>
    <w:rsid w:val="000C165A"/>
    <w:rsid w:val="000C1B82"/>
    <w:rsid w:val="000C1C54"/>
    <w:rsid w:val="000C2E19"/>
    <w:rsid w:val="000C30A9"/>
    <w:rsid w:val="000C352C"/>
    <w:rsid w:val="000D0D07"/>
    <w:rsid w:val="000D0FC0"/>
    <w:rsid w:val="000D1A43"/>
    <w:rsid w:val="000D2598"/>
    <w:rsid w:val="000D3355"/>
    <w:rsid w:val="000D4797"/>
    <w:rsid w:val="000D5689"/>
    <w:rsid w:val="000E0527"/>
    <w:rsid w:val="000E0661"/>
    <w:rsid w:val="000E1E92"/>
    <w:rsid w:val="000E2C9E"/>
    <w:rsid w:val="000E2D8D"/>
    <w:rsid w:val="000E41CC"/>
    <w:rsid w:val="000E5C12"/>
    <w:rsid w:val="000F06D6"/>
    <w:rsid w:val="000F0EB1"/>
    <w:rsid w:val="000F1106"/>
    <w:rsid w:val="000F3BE9"/>
    <w:rsid w:val="000F3F6C"/>
    <w:rsid w:val="000F64A7"/>
    <w:rsid w:val="000F6DF3"/>
    <w:rsid w:val="000F717A"/>
    <w:rsid w:val="000F7BB4"/>
    <w:rsid w:val="001005FF"/>
    <w:rsid w:val="00102230"/>
    <w:rsid w:val="001062FB"/>
    <w:rsid w:val="001063E6"/>
    <w:rsid w:val="001068F5"/>
    <w:rsid w:val="0011043D"/>
    <w:rsid w:val="00110E74"/>
    <w:rsid w:val="00113846"/>
    <w:rsid w:val="00113CF4"/>
    <w:rsid w:val="00114C60"/>
    <w:rsid w:val="001153EA"/>
    <w:rsid w:val="00115643"/>
    <w:rsid w:val="00116765"/>
    <w:rsid w:val="00117678"/>
    <w:rsid w:val="001219F5"/>
    <w:rsid w:val="00121A20"/>
    <w:rsid w:val="0012377F"/>
    <w:rsid w:val="00124314"/>
    <w:rsid w:val="00126B4A"/>
    <w:rsid w:val="00132FD0"/>
    <w:rsid w:val="00133489"/>
    <w:rsid w:val="00133F3F"/>
    <w:rsid w:val="001344C0"/>
    <w:rsid w:val="001346FA"/>
    <w:rsid w:val="00135252"/>
    <w:rsid w:val="00137AB5"/>
    <w:rsid w:val="00137C57"/>
    <w:rsid w:val="00137E73"/>
    <w:rsid w:val="00137F0B"/>
    <w:rsid w:val="00140E58"/>
    <w:rsid w:val="001415C5"/>
    <w:rsid w:val="0014397C"/>
    <w:rsid w:val="00144025"/>
    <w:rsid w:val="00144B41"/>
    <w:rsid w:val="00145EBC"/>
    <w:rsid w:val="001505D3"/>
    <w:rsid w:val="00151E23"/>
    <w:rsid w:val="001523DF"/>
    <w:rsid w:val="001526E0"/>
    <w:rsid w:val="00153B2F"/>
    <w:rsid w:val="00153B65"/>
    <w:rsid w:val="00154139"/>
    <w:rsid w:val="00154AD2"/>
    <w:rsid w:val="001551B5"/>
    <w:rsid w:val="00155E88"/>
    <w:rsid w:val="0016196F"/>
    <w:rsid w:val="00161EA5"/>
    <w:rsid w:val="00163391"/>
    <w:rsid w:val="00164C22"/>
    <w:rsid w:val="0016586E"/>
    <w:rsid w:val="001659C1"/>
    <w:rsid w:val="00165B5C"/>
    <w:rsid w:val="00165ED6"/>
    <w:rsid w:val="0016655A"/>
    <w:rsid w:val="00167ED6"/>
    <w:rsid w:val="00172948"/>
    <w:rsid w:val="00173A8E"/>
    <w:rsid w:val="0017502C"/>
    <w:rsid w:val="0017592D"/>
    <w:rsid w:val="00176CD5"/>
    <w:rsid w:val="0018040A"/>
    <w:rsid w:val="0018143F"/>
    <w:rsid w:val="00181FF8"/>
    <w:rsid w:val="00183CE2"/>
    <w:rsid w:val="001879E3"/>
    <w:rsid w:val="001908DF"/>
    <w:rsid w:val="00190AC1"/>
    <w:rsid w:val="001918A6"/>
    <w:rsid w:val="00191E36"/>
    <w:rsid w:val="0019341A"/>
    <w:rsid w:val="00194D77"/>
    <w:rsid w:val="0019535D"/>
    <w:rsid w:val="00197A74"/>
    <w:rsid w:val="00197BB5"/>
    <w:rsid w:val="00197DF9"/>
    <w:rsid w:val="001A05A6"/>
    <w:rsid w:val="001A1987"/>
    <w:rsid w:val="001A2564"/>
    <w:rsid w:val="001A6173"/>
    <w:rsid w:val="001A6CBA"/>
    <w:rsid w:val="001B0D97"/>
    <w:rsid w:val="001B55DF"/>
    <w:rsid w:val="001B5A5D"/>
    <w:rsid w:val="001B6573"/>
    <w:rsid w:val="001B7DCB"/>
    <w:rsid w:val="001C19F7"/>
    <w:rsid w:val="001C1CE5"/>
    <w:rsid w:val="001C1ED7"/>
    <w:rsid w:val="001C3D2A"/>
    <w:rsid w:val="001C7B78"/>
    <w:rsid w:val="001D023B"/>
    <w:rsid w:val="001D0621"/>
    <w:rsid w:val="001D1CCF"/>
    <w:rsid w:val="001D2BC8"/>
    <w:rsid w:val="001D4F34"/>
    <w:rsid w:val="001D51BA"/>
    <w:rsid w:val="001D53E7"/>
    <w:rsid w:val="001D6342"/>
    <w:rsid w:val="001D6D53"/>
    <w:rsid w:val="001E029F"/>
    <w:rsid w:val="001E3C4B"/>
    <w:rsid w:val="001E58E2"/>
    <w:rsid w:val="001E5C20"/>
    <w:rsid w:val="001E7AED"/>
    <w:rsid w:val="001F003B"/>
    <w:rsid w:val="001F16FA"/>
    <w:rsid w:val="001F1DE0"/>
    <w:rsid w:val="001F3916"/>
    <w:rsid w:val="001F54C5"/>
    <w:rsid w:val="001F5F94"/>
    <w:rsid w:val="001F662C"/>
    <w:rsid w:val="001F7074"/>
    <w:rsid w:val="00200490"/>
    <w:rsid w:val="00201F3A"/>
    <w:rsid w:val="00202767"/>
    <w:rsid w:val="00203106"/>
    <w:rsid w:val="00203F96"/>
    <w:rsid w:val="002043D5"/>
    <w:rsid w:val="00205654"/>
    <w:rsid w:val="002069B2"/>
    <w:rsid w:val="0020744F"/>
    <w:rsid w:val="00207E80"/>
    <w:rsid w:val="00207FA3"/>
    <w:rsid w:val="00210381"/>
    <w:rsid w:val="00211319"/>
    <w:rsid w:val="002140A7"/>
    <w:rsid w:val="00214DA8"/>
    <w:rsid w:val="00215423"/>
    <w:rsid w:val="002158FA"/>
    <w:rsid w:val="00215CBF"/>
    <w:rsid w:val="00216B31"/>
    <w:rsid w:val="00220600"/>
    <w:rsid w:val="002224DB"/>
    <w:rsid w:val="00223F63"/>
    <w:rsid w:val="00223FCB"/>
    <w:rsid w:val="002252C3"/>
    <w:rsid w:val="00225A77"/>
    <w:rsid w:val="00225C54"/>
    <w:rsid w:val="00230765"/>
    <w:rsid w:val="00230D18"/>
    <w:rsid w:val="002319E4"/>
    <w:rsid w:val="00232753"/>
    <w:rsid w:val="00235632"/>
    <w:rsid w:val="00235872"/>
    <w:rsid w:val="00236FA9"/>
    <w:rsid w:val="00241559"/>
    <w:rsid w:val="002435B3"/>
    <w:rsid w:val="0024561B"/>
    <w:rsid w:val="002458EB"/>
    <w:rsid w:val="0024662F"/>
    <w:rsid w:val="002474CF"/>
    <w:rsid w:val="002500C8"/>
    <w:rsid w:val="00251155"/>
    <w:rsid w:val="00251347"/>
    <w:rsid w:val="002534E2"/>
    <w:rsid w:val="00254F30"/>
    <w:rsid w:val="002557EA"/>
    <w:rsid w:val="00255CA7"/>
    <w:rsid w:val="00257543"/>
    <w:rsid w:val="00260D4A"/>
    <w:rsid w:val="002617E7"/>
    <w:rsid w:val="00264228"/>
    <w:rsid w:val="00264334"/>
    <w:rsid w:val="00264398"/>
    <w:rsid w:val="0026473E"/>
    <w:rsid w:val="00265E4B"/>
    <w:rsid w:val="00266214"/>
    <w:rsid w:val="00267C83"/>
    <w:rsid w:val="00270AAE"/>
    <w:rsid w:val="0027144F"/>
    <w:rsid w:val="00271813"/>
    <w:rsid w:val="00271F3A"/>
    <w:rsid w:val="00273278"/>
    <w:rsid w:val="002737F4"/>
    <w:rsid w:val="00274E33"/>
    <w:rsid w:val="00277F05"/>
    <w:rsid w:val="002805F5"/>
    <w:rsid w:val="00280751"/>
    <w:rsid w:val="0028280A"/>
    <w:rsid w:val="00284EBF"/>
    <w:rsid w:val="00286ACD"/>
    <w:rsid w:val="00287838"/>
    <w:rsid w:val="002879B0"/>
    <w:rsid w:val="00287CDD"/>
    <w:rsid w:val="002907B5"/>
    <w:rsid w:val="002924C9"/>
    <w:rsid w:val="00292CA1"/>
    <w:rsid w:val="00292EB7"/>
    <w:rsid w:val="00293BA7"/>
    <w:rsid w:val="00294F7B"/>
    <w:rsid w:val="00296086"/>
    <w:rsid w:val="00296227"/>
    <w:rsid w:val="00296F44"/>
    <w:rsid w:val="0029777D"/>
    <w:rsid w:val="002A0127"/>
    <w:rsid w:val="002A055E"/>
    <w:rsid w:val="002A1D4E"/>
    <w:rsid w:val="002A2869"/>
    <w:rsid w:val="002A32EE"/>
    <w:rsid w:val="002A5999"/>
    <w:rsid w:val="002A6FF5"/>
    <w:rsid w:val="002B1E85"/>
    <w:rsid w:val="002B24D6"/>
    <w:rsid w:val="002B275B"/>
    <w:rsid w:val="002B424F"/>
    <w:rsid w:val="002B62CB"/>
    <w:rsid w:val="002B6461"/>
    <w:rsid w:val="002B708D"/>
    <w:rsid w:val="002C0A04"/>
    <w:rsid w:val="002C3F4F"/>
    <w:rsid w:val="002C41E6"/>
    <w:rsid w:val="002C5665"/>
    <w:rsid w:val="002C5EC2"/>
    <w:rsid w:val="002C7169"/>
    <w:rsid w:val="002D071A"/>
    <w:rsid w:val="002D0FAA"/>
    <w:rsid w:val="002D34B2"/>
    <w:rsid w:val="002D48B0"/>
    <w:rsid w:val="002D5B37"/>
    <w:rsid w:val="002D5BC3"/>
    <w:rsid w:val="002D7304"/>
    <w:rsid w:val="002D7637"/>
    <w:rsid w:val="002E0B3E"/>
    <w:rsid w:val="002E17F2"/>
    <w:rsid w:val="002E1CD7"/>
    <w:rsid w:val="002E5A21"/>
    <w:rsid w:val="002E793C"/>
    <w:rsid w:val="002E7CAE"/>
    <w:rsid w:val="002E7DBE"/>
    <w:rsid w:val="002F0E65"/>
    <w:rsid w:val="002F15F6"/>
    <w:rsid w:val="002F1853"/>
    <w:rsid w:val="002F2589"/>
    <w:rsid w:val="002F2771"/>
    <w:rsid w:val="002F328E"/>
    <w:rsid w:val="002F37A9"/>
    <w:rsid w:val="002F4876"/>
    <w:rsid w:val="002F51A4"/>
    <w:rsid w:val="002F6765"/>
    <w:rsid w:val="002F76F4"/>
    <w:rsid w:val="003009D9"/>
    <w:rsid w:val="00301CE6"/>
    <w:rsid w:val="003021D6"/>
    <w:rsid w:val="003022C8"/>
    <w:rsid w:val="0030256B"/>
    <w:rsid w:val="003045BC"/>
    <w:rsid w:val="0030501F"/>
    <w:rsid w:val="0030657A"/>
    <w:rsid w:val="003077C1"/>
    <w:rsid w:val="00307BA1"/>
    <w:rsid w:val="00310098"/>
    <w:rsid w:val="00311702"/>
    <w:rsid w:val="003119AA"/>
    <w:rsid w:val="00311AF2"/>
    <w:rsid w:val="00311E82"/>
    <w:rsid w:val="00312685"/>
    <w:rsid w:val="00313FD6"/>
    <w:rsid w:val="003143BD"/>
    <w:rsid w:val="00315363"/>
    <w:rsid w:val="003203ED"/>
    <w:rsid w:val="0032043B"/>
    <w:rsid w:val="00322C9F"/>
    <w:rsid w:val="00324D23"/>
    <w:rsid w:val="00331751"/>
    <w:rsid w:val="003344F4"/>
    <w:rsid w:val="00334579"/>
    <w:rsid w:val="00334D66"/>
    <w:rsid w:val="00334FCC"/>
    <w:rsid w:val="00335858"/>
    <w:rsid w:val="003358F9"/>
    <w:rsid w:val="00336BDA"/>
    <w:rsid w:val="00337564"/>
    <w:rsid w:val="0034215A"/>
    <w:rsid w:val="0034279D"/>
    <w:rsid w:val="00342BD7"/>
    <w:rsid w:val="00342F1F"/>
    <w:rsid w:val="003436C0"/>
    <w:rsid w:val="00346DB5"/>
    <w:rsid w:val="00347650"/>
    <w:rsid w:val="003477B1"/>
    <w:rsid w:val="003508ED"/>
    <w:rsid w:val="00351173"/>
    <w:rsid w:val="003514F5"/>
    <w:rsid w:val="00354F79"/>
    <w:rsid w:val="00356166"/>
    <w:rsid w:val="00357380"/>
    <w:rsid w:val="00357AA4"/>
    <w:rsid w:val="003602D9"/>
    <w:rsid w:val="003604CE"/>
    <w:rsid w:val="00360D62"/>
    <w:rsid w:val="00362159"/>
    <w:rsid w:val="0036305B"/>
    <w:rsid w:val="003640B8"/>
    <w:rsid w:val="003648FB"/>
    <w:rsid w:val="00365D23"/>
    <w:rsid w:val="0036764A"/>
    <w:rsid w:val="00370E47"/>
    <w:rsid w:val="00372A2F"/>
    <w:rsid w:val="003742AC"/>
    <w:rsid w:val="00374953"/>
    <w:rsid w:val="00374C2E"/>
    <w:rsid w:val="003758D1"/>
    <w:rsid w:val="00377065"/>
    <w:rsid w:val="00377C28"/>
    <w:rsid w:val="00377CE1"/>
    <w:rsid w:val="00385BF0"/>
    <w:rsid w:val="00387C8D"/>
    <w:rsid w:val="00393033"/>
    <w:rsid w:val="003939FF"/>
    <w:rsid w:val="00396C47"/>
    <w:rsid w:val="003A18AA"/>
    <w:rsid w:val="003A2223"/>
    <w:rsid w:val="003A2401"/>
    <w:rsid w:val="003A2A0F"/>
    <w:rsid w:val="003A3ED2"/>
    <w:rsid w:val="003A40F0"/>
    <w:rsid w:val="003A45A1"/>
    <w:rsid w:val="003A5B0A"/>
    <w:rsid w:val="003A6BAC"/>
    <w:rsid w:val="003A70A4"/>
    <w:rsid w:val="003A7EF3"/>
    <w:rsid w:val="003B159C"/>
    <w:rsid w:val="003B3243"/>
    <w:rsid w:val="003B369F"/>
    <w:rsid w:val="003B36A3"/>
    <w:rsid w:val="003B3CD4"/>
    <w:rsid w:val="003B5010"/>
    <w:rsid w:val="003B53BE"/>
    <w:rsid w:val="003B64BB"/>
    <w:rsid w:val="003B6B1A"/>
    <w:rsid w:val="003B7AF5"/>
    <w:rsid w:val="003B7FE5"/>
    <w:rsid w:val="003C03E7"/>
    <w:rsid w:val="003C078E"/>
    <w:rsid w:val="003C11C8"/>
    <w:rsid w:val="003C2702"/>
    <w:rsid w:val="003C2DD0"/>
    <w:rsid w:val="003C45FF"/>
    <w:rsid w:val="003C50A3"/>
    <w:rsid w:val="003C665F"/>
    <w:rsid w:val="003C7213"/>
    <w:rsid w:val="003C7806"/>
    <w:rsid w:val="003C7C08"/>
    <w:rsid w:val="003D109F"/>
    <w:rsid w:val="003D2478"/>
    <w:rsid w:val="003D32C6"/>
    <w:rsid w:val="003D3C45"/>
    <w:rsid w:val="003D479C"/>
    <w:rsid w:val="003D56B7"/>
    <w:rsid w:val="003D5B1F"/>
    <w:rsid w:val="003E015E"/>
    <w:rsid w:val="003E1584"/>
    <w:rsid w:val="003E15FA"/>
    <w:rsid w:val="003E1AA1"/>
    <w:rsid w:val="003E3185"/>
    <w:rsid w:val="003E3C5C"/>
    <w:rsid w:val="003E4A02"/>
    <w:rsid w:val="003E4AC2"/>
    <w:rsid w:val="003E4FC9"/>
    <w:rsid w:val="003E55E4"/>
    <w:rsid w:val="003E5E2D"/>
    <w:rsid w:val="003E74E3"/>
    <w:rsid w:val="003F05C7"/>
    <w:rsid w:val="003F2CD4"/>
    <w:rsid w:val="003F349C"/>
    <w:rsid w:val="003F3FC0"/>
    <w:rsid w:val="003F5EBE"/>
    <w:rsid w:val="003F67A0"/>
    <w:rsid w:val="003F6A93"/>
    <w:rsid w:val="003F6BBE"/>
    <w:rsid w:val="003F7261"/>
    <w:rsid w:val="003F7E1A"/>
    <w:rsid w:val="004000E8"/>
    <w:rsid w:val="00402E2B"/>
    <w:rsid w:val="0040512B"/>
    <w:rsid w:val="00405CA5"/>
    <w:rsid w:val="00407884"/>
    <w:rsid w:val="00407CD3"/>
    <w:rsid w:val="004100AF"/>
    <w:rsid w:val="00410134"/>
    <w:rsid w:val="00410B72"/>
    <w:rsid w:val="00410F18"/>
    <w:rsid w:val="004122F3"/>
    <w:rsid w:val="0041263E"/>
    <w:rsid w:val="0041276D"/>
    <w:rsid w:val="00413AAC"/>
    <w:rsid w:val="00413E92"/>
    <w:rsid w:val="004144E7"/>
    <w:rsid w:val="004148A5"/>
    <w:rsid w:val="0041551E"/>
    <w:rsid w:val="00415FD2"/>
    <w:rsid w:val="00417016"/>
    <w:rsid w:val="004206AD"/>
    <w:rsid w:val="00421105"/>
    <w:rsid w:val="00422AA4"/>
    <w:rsid w:val="004242F4"/>
    <w:rsid w:val="0042480E"/>
    <w:rsid w:val="00424E4A"/>
    <w:rsid w:val="00427248"/>
    <w:rsid w:val="00427BEA"/>
    <w:rsid w:val="00427FF0"/>
    <w:rsid w:val="00431C7A"/>
    <w:rsid w:val="00432C6C"/>
    <w:rsid w:val="00436184"/>
    <w:rsid w:val="0043723D"/>
    <w:rsid w:val="00437447"/>
    <w:rsid w:val="00437F11"/>
    <w:rsid w:val="00440327"/>
    <w:rsid w:val="004403F0"/>
    <w:rsid w:val="00441A92"/>
    <w:rsid w:val="004431DC"/>
    <w:rsid w:val="00444B91"/>
    <w:rsid w:val="00444E0F"/>
    <w:rsid w:val="00444F56"/>
    <w:rsid w:val="00446488"/>
    <w:rsid w:val="00450E9D"/>
    <w:rsid w:val="004517AA"/>
    <w:rsid w:val="00452CAC"/>
    <w:rsid w:val="00453B04"/>
    <w:rsid w:val="00454E30"/>
    <w:rsid w:val="00457565"/>
    <w:rsid w:val="0045791B"/>
    <w:rsid w:val="00457B71"/>
    <w:rsid w:val="004603B1"/>
    <w:rsid w:val="004609D2"/>
    <w:rsid w:val="00460F85"/>
    <w:rsid w:val="0046572F"/>
    <w:rsid w:val="004669E2"/>
    <w:rsid w:val="00470C31"/>
    <w:rsid w:val="00471DE0"/>
    <w:rsid w:val="004720C3"/>
    <w:rsid w:val="00472D06"/>
    <w:rsid w:val="00473005"/>
    <w:rsid w:val="004734D0"/>
    <w:rsid w:val="0047441A"/>
    <w:rsid w:val="0047556B"/>
    <w:rsid w:val="00477578"/>
    <w:rsid w:val="00477768"/>
    <w:rsid w:val="00477D8F"/>
    <w:rsid w:val="00483009"/>
    <w:rsid w:val="004836CD"/>
    <w:rsid w:val="00486043"/>
    <w:rsid w:val="004870AC"/>
    <w:rsid w:val="00492BC5"/>
    <w:rsid w:val="00495FC9"/>
    <w:rsid w:val="004964F1"/>
    <w:rsid w:val="0049685C"/>
    <w:rsid w:val="00497C3D"/>
    <w:rsid w:val="004A16BC"/>
    <w:rsid w:val="004A1C24"/>
    <w:rsid w:val="004A1F6A"/>
    <w:rsid w:val="004A2B94"/>
    <w:rsid w:val="004A3ABD"/>
    <w:rsid w:val="004A5214"/>
    <w:rsid w:val="004A612A"/>
    <w:rsid w:val="004B0BF5"/>
    <w:rsid w:val="004B2333"/>
    <w:rsid w:val="004B2DF5"/>
    <w:rsid w:val="004B2F7E"/>
    <w:rsid w:val="004B33CA"/>
    <w:rsid w:val="004B6F6A"/>
    <w:rsid w:val="004B7C0C"/>
    <w:rsid w:val="004C035A"/>
    <w:rsid w:val="004C12F4"/>
    <w:rsid w:val="004C249B"/>
    <w:rsid w:val="004C2704"/>
    <w:rsid w:val="004C3566"/>
    <w:rsid w:val="004C3898"/>
    <w:rsid w:val="004D01DD"/>
    <w:rsid w:val="004D09F1"/>
    <w:rsid w:val="004D2574"/>
    <w:rsid w:val="004D36B1"/>
    <w:rsid w:val="004D521D"/>
    <w:rsid w:val="004D7A12"/>
    <w:rsid w:val="004D7EBD"/>
    <w:rsid w:val="004E2680"/>
    <w:rsid w:val="004E28F9"/>
    <w:rsid w:val="004E2C13"/>
    <w:rsid w:val="004E462E"/>
    <w:rsid w:val="004E54C4"/>
    <w:rsid w:val="004E56DC"/>
    <w:rsid w:val="004E76F4"/>
    <w:rsid w:val="004E7B69"/>
    <w:rsid w:val="004F0B4E"/>
    <w:rsid w:val="004F0B6C"/>
    <w:rsid w:val="004F2078"/>
    <w:rsid w:val="004F4DA3"/>
    <w:rsid w:val="004F5E6A"/>
    <w:rsid w:val="00500F51"/>
    <w:rsid w:val="00504F17"/>
    <w:rsid w:val="00506557"/>
    <w:rsid w:val="0050677A"/>
    <w:rsid w:val="00506D08"/>
    <w:rsid w:val="005076D5"/>
    <w:rsid w:val="0050782E"/>
    <w:rsid w:val="00507893"/>
    <w:rsid w:val="005108D8"/>
    <w:rsid w:val="005116F9"/>
    <w:rsid w:val="00512F01"/>
    <w:rsid w:val="0051411C"/>
    <w:rsid w:val="00514A5B"/>
    <w:rsid w:val="0051518D"/>
    <w:rsid w:val="005153A7"/>
    <w:rsid w:val="00517061"/>
    <w:rsid w:val="005219CF"/>
    <w:rsid w:val="00534B59"/>
    <w:rsid w:val="00536564"/>
    <w:rsid w:val="00536759"/>
    <w:rsid w:val="005376D9"/>
    <w:rsid w:val="00537C62"/>
    <w:rsid w:val="00542826"/>
    <w:rsid w:val="00543CC4"/>
    <w:rsid w:val="0054422B"/>
    <w:rsid w:val="00544912"/>
    <w:rsid w:val="00544F43"/>
    <w:rsid w:val="005450D3"/>
    <w:rsid w:val="00546970"/>
    <w:rsid w:val="0055066D"/>
    <w:rsid w:val="00550979"/>
    <w:rsid w:val="0055129C"/>
    <w:rsid w:val="00551ABA"/>
    <w:rsid w:val="00554E19"/>
    <w:rsid w:val="00555D70"/>
    <w:rsid w:val="0056121F"/>
    <w:rsid w:val="005618F4"/>
    <w:rsid w:val="0056199F"/>
    <w:rsid w:val="00564FC7"/>
    <w:rsid w:val="0056630C"/>
    <w:rsid w:val="00572505"/>
    <w:rsid w:val="0057393A"/>
    <w:rsid w:val="00576CAD"/>
    <w:rsid w:val="00576E90"/>
    <w:rsid w:val="00582809"/>
    <w:rsid w:val="005830F9"/>
    <w:rsid w:val="0058523D"/>
    <w:rsid w:val="0058798C"/>
    <w:rsid w:val="005900FA"/>
    <w:rsid w:val="0059032B"/>
    <w:rsid w:val="00592107"/>
    <w:rsid w:val="005935A4"/>
    <w:rsid w:val="005937BD"/>
    <w:rsid w:val="005948C2"/>
    <w:rsid w:val="00595DCA"/>
    <w:rsid w:val="00595DCD"/>
    <w:rsid w:val="00597643"/>
    <w:rsid w:val="0059779B"/>
    <w:rsid w:val="005A11FB"/>
    <w:rsid w:val="005A209A"/>
    <w:rsid w:val="005A210E"/>
    <w:rsid w:val="005A4888"/>
    <w:rsid w:val="005A662D"/>
    <w:rsid w:val="005B1409"/>
    <w:rsid w:val="005B35D7"/>
    <w:rsid w:val="005B392A"/>
    <w:rsid w:val="005B3AA3"/>
    <w:rsid w:val="005B3FB4"/>
    <w:rsid w:val="005B6F83"/>
    <w:rsid w:val="005C2045"/>
    <w:rsid w:val="005C35FA"/>
    <w:rsid w:val="005C4084"/>
    <w:rsid w:val="005C409D"/>
    <w:rsid w:val="005C6813"/>
    <w:rsid w:val="005C74FB"/>
    <w:rsid w:val="005D0CB4"/>
    <w:rsid w:val="005D1602"/>
    <w:rsid w:val="005D24B3"/>
    <w:rsid w:val="005D262E"/>
    <w:rsid w:val="005D48E8"/>
    <w:rsid w:val="005D6B67"/>
    <w:rsid w:val="005E0D3C"/>
    <w:rsid w:val="005E103A"/>
    <w:rsid w:val="005E210C"/>
    <w:rsid w:val="005E385F"/>
    <w:rsid w:val="005E3DBE"/>
    <w:rsid w:val="005E4022"/>
    <w:rsid w:val="005E5B81"/>
    <w:rsid w:val="005E6C07"/>
    <w:rsid w:val="005F0108"/>
    <w:rsid w:val="005F2136"/>
    <w:rsid w:val="005F2CB1"/>
    <w:rsid w:val="005F3025"/>
    <w:rsid w:val="005F408B"/>
    <w:rsid w:val="005F618C"/>
    <w:rsid w:val="005F62FE"/>
    <w:rsid w:val="005F6406"/>
    <w:rsid w:val="005F70BD"/>
    <w:rsid w:val="00600E12"/>
    <w:rsid w:val="0060283C"/>
    <w:rsid w:val="00603DC8"/>
    <w:rsid w:val="006048C3"/>
    <w:rsid w:val="00604F14"/>
    <w:rsid w:val="00605405"/>
    <w:rsid w:val="00605FD3"/>
    <w:rsid w:val="006069AA"/>
    <w:rsid w:val="00607C65"/>
    <w:rsid w:val="00610B88"/>
    <w:rsid w:val="00611B83"/>
    <w:rsid w:val="00613257"/>
    <w:rsid w:val="006145AD"/>
    <w:rsid w:val="00617886"/>
    <w:rsid w:val="00620A71"/>
    <w:rsid w:val="00620D80"/>
    <w:rsid w:val="006212CA"/>
    <w:rsid w:val="00622AE0"/>
    <w:rsid w:val="006234A6"/>
    <w:rsid w:val="00623D72"/>
    <w:rsid w:val="00624443"/>
    <w:rsid w:val="00624A56"/>
    <w:rsid w:val="00630001"/>
    <w:rsid w:val="006311B3"/>
    <w:rsid w:val="00631EC7"/>
    <w:rsid w:val="0063284C"/>
    <w:rsid w:val="00632876"/>
    <w:rsid w:val="00633C38"/>
    <w:rsid w:val="00636398"/>
    <w:rsid w:val="006368D3"/>
    <w:rsid w:val="006377EC"/>
    <w:rsid w:val="006403C7"/>
    <w:rsid w:val="0064087F"/>
    <w:rsid w:val="0064102F"/>
    <w:rsid w:val="0064151F"/>
    <w:rsid w:val="00641533"/>
    <w:rsid w:val="00641E88"/>
    <w:rsid w:val="0064208D"/>
    <w:rsid w:val="00643475"/>
    <w:rsid w:val="00643792"/>
    <w:rsid w:val="0064396A"/>
    <w:rsid w:val="00645B6D"/>
    <w:rsid w:val="0064624E"/>
    <w:rsid w:val="00646F37"/>
    <w:rsid w:val="006477E7"/>
    <w:rsid w:val="00647E33"/>
    <w:rsid w:val="00650AB9"/>
    <w:rsid w:val="00653F16"/>
    <w:rsid w:val="00655733"/>
    <w:rsid w:val="00655ACD"/>
    <w:rsid w:val="006562F0"/>
    <w:rsid w:val="00656A92"/>
    <w:rsid w:val="00656DDE"/>
    <w:rsid w:val="0065737A"/>
    <w:rsid w:val="0065783E"/>
    <w:rsid w:val="00657A8C"/>
    <w:rsid w:val="0066011D"/>
    <w:rsid w:val="006607C0"/>
    <w:rsid w:val="006613A6"/>
    <w:rsid w:val="006614D8"/>
    <w:rsid w:val="00661ADD"/>
    <w:rsid w:val="006621EF"/>
    <w:rsid w:val="006627A2"/>
    <w:rsid w:val="00662C44"/>
    <w:rsid w:val="00662F45"/>
    <w:rsid w:val="006634E6"/>
    <w:rsid w:val="00664E5A"/>
    <w:rsid w:val="006655EE"/>
    <w:rsid w:val="006669B1"/>
    <w:rsid w:val="00667D9E"/>
    <w:rsid w:val="00667EE7"/>
    <w:rsid w:val="00670922"/>
    <w:rsid w:val="00670BE1"/>
    <w:rsid w:val="00671993"/>
    <w:rsid w:val="0067218F"/>
    <w:rsid w:val="0067321A"/>
    <w:rsid w:val="006741F2"/>
    <w:rsid w:val="00674CC3"/>
    <w:rsid w:val="00675C72"/>
    <w:rsid w:val="00675DE4"/>
    <w:rsid w:val="006771F9"/>
    <w:rsid w:val="006776D7"/>
    <w:rsid w:val="00677FE2"/>
    <w:rsid w:val="00681003"/>
    <w:rsid w:val="00681598"/>
    <w:rsid w:val="0068159F"/>
    <w:rsid w:val="006817C9"/>
    <w:rsid w:val="0068184A"/>
    <w:rsid w:val="006824DC"/>
    <w:rsid w:val="00682AB8"/>
    <w:rsid w:val="00683ECE"/>
    <w:rsid w:val="00684246"/>
    <w:rsid w:val="00684A67"/>
    <w:rsid w:val="00684BC0"/>
    <w:rsid w:val="00686F21"/>
    <w:rsid w:val="00691471"/>
    <w:rsid w:val="006916AE"/>
    <w:rsid w:val="0069245F"/>
    <w:rsid w:val="0069248F"/>
    <w:rsid w:val="0069283B"/>
    <w:rsid w:val="00694673"/>
    <w:rsid w:val="00695AC3"/>
    <w:rsid w:val="00695FC2"/>
    <w:rsid w:val="00696485"/>
    <w:rsid w:val="006966DA"/>
    <w:rsid w:val="00696843"/>
    <w:rsid w:val="00696949"/>
    <w:rsid w:val="00697052"/>
    <w:rsid w:val="006975BD"/>
    <w:rsid w:val="006A3187"/>
    <w:rsid w:val="006A46FB"/>
    <w:rsid w:val="006A4BD8"/>
    <w:rsid w:val="006A5E28"/>
    <w:rsid w:val="006A61CE"/>
    <w:rsid w:val="006A697B"/>
    <w:rsid w:val="006A7AFF"/>
    <w:rsid w:val="006B0C72"/>
    <w:rsid w:val="006B1816"/>
    <w:rsid w:val="006B2099"/>
    <w:rsid w:val="006B4A28"/>
    <w:rsid w:val="006B50CF"/>
    <w:rsid w:val="006B6839"/>
    <w:rsid w:val="006B7BCD"/>
    <w:rsid w:val="006C03B8"/>
    <w:rsid w:val="006C1892"/>
    <w:rsid w:val="006C4A63"/>
    <w:rsid w:val="006C5EC9"/>
    <w:rsid w:val="006C6059"/>
    <w:rsid w:val="006C66E1"/>
    <w:rsid w:val="006C7522"/>
    <w:rsid w:val="006D0A05"/>
    <w:rsid w:val="006D4D17"/>
    <w:rsid w:val="006D517C"/>
    <w:rsid w:val="006D5B53"/>
    <w:rsid w:val="006D6F08"/>
    <w:rsid w:val="006D7B69"/>
    <w:rsid w:val="006E062C"/>
    <w:rsid w:val="006E08F7"/>
    <w:rsid w:val="006E1C82"/>
    <w:rsid w:val="006E24E6"/>
    <w:rsid w:val="006E28B7"/>
    <w:rsid w:val="006E2A9B"/>
    <w:rsid w:val="006E3310"/>
    <w:rsid w:val="006E3CAC"/>
    <w:rsid w:val="006E4E39"/>
    <w:rsid w:val="006E565E"/>
    <w:rsid w:val="006E673D"/>
    <w:rsid w:val="006E7B65"/>
    <w:rsid w:val="006E7D3B"/>
    <w:rsid w:val="006F1507"/>
    <w:rsid w:val="006F1743"/>
    <w:rsid w:val="006F1B70"/>
    <w:rsid w:val="006F26A7"/>
    <w:rsid w:val="006F2D3C"/>
    <w:rsid w:val="006F341D"/>
    <w:rsid w:val="006F3CDE"/>
    <w:rsid w:val="006F479B"/>
    <w:rsid w:val="006F5059"/>
    <w:rsid w:val="006F5354"/>
    <w:rsid w:val="006F5858"/>
    <w:rsid w:val="006F58D4"/>
    <w:rsid w:val="006F6582"/>
    <w:rsid w:val="00700D5D"/>
    <w:rsid w:val="00702F51"/>
    <w:rsid w:val="0070346E"/>
    <w:rsid w:val="00704EDB"/>
    <w:rsid w:val="00706101"/>
    <w:rsid w:val="00706D8F"/>
    <w:rsid w:val="00707072"/>
    <w:rsid w:val="007071BB"/>
    <w:rsid w:val="00707D61"/>
    <w:rsid w:val="00711723"/>
    <w:rsid w:val="00712287"/>
    <w:rsid w:val="00712772"/>
    <w:rsid w:val="00714202"/>
    <w:rsid w:val="007148D3"/>
    <w:rsid w:val="00715B9A"/>
    <w:rsid w:val="007178BA"/>
    <w:rsid w:val="0072277E"/>
    <w:rsid w:val="00723D6C"/>
    <w:rsid w:val="007249A7"/>
    <w:rsid w:val="007257D0"/>
    <w:rsid w:val="007263B3"/>
    <w:rsid w:val="00726EA6"/>
    <w:rsid w:val="00727208"/>
    <w:rsid w:val="00727680"/>
    <w:rsid w:val="007303F0"/>
    <w:rsid w:val="007308DE"/>
    <w:rsid w:val="007348B1"/>
    <w:rsid w:val="007349AF"/>
    <w:rsid w:val="00735251"/>
    <w:rsid w:val="007362A6"/>
    <w:rsid w:val="0073670E"/>
    <w:rsid w:val="00736D7D"/>
    <w:rsid w:val="00740E58"/>
    <w:rsid w:val="00741B05"/>
    <w:rsid w:val="00742D2B"/>
    <w:rsid w:val="007441D5"/>
    <w:rsid w:val="007445A0"/>
    <w:rsid w:val="0074524B"/>
    <w:rsid w:val="00746912"/>
    <w:rsid w:val="00746B34"/>
    <w:rsid w:val="00747944"/>
    <w:rsid w:val="00747D8B"/>
    <w:rsid w:val="00751228"/>
    <w:rsid w:val="00755AF3"/>
    <w:rsid w:val="007571E1"/>
    <w:rsid w:val="007604B2"/>
    <w:rsid w:val="00765281"/>
    <w:rsid w:val="007652DB"/>
    <w:rsid w:val="00766BAD"/>
    <w:rsid w:val="007729A2"/>
    <w:rsid w:val="007755F2"/>
    <w:rsid w:val="00776971"/>
    <w:rsid w:val="00777938"/>
    <w:rsid w:val="00780A80"/>
    <w:rsid w:val="0078177E"/>
    <w:rsid w:val="007819F0"/>
    <w:rsid w:val="00782A26"/>
    <w:rsid w:val="0078304C"/>
    <w:rsid w:val="00783673"/>
    <w:rsid w:val="00785490"/>
    <w:rsid w:val="00787C53"/>
    <w:rsid w:val="007925EA"/>
    <w:rsid w:val="0079319C"/>
    <w:rsid w:val="00793393"/>
    <w:rsid w:val="00793CD8"/>
    <w:rsid w:val="00795C92"/>
    <w:rsid w:val="00796231"/>
    <w:rsid w:val="007969FD"/>
    <w:rsid w:val="007973CA"/>
    <w:rsid w:val="007977CF"/>
    <w:rsid w:val="00797CFA"/>
    <w:rsid w:val="007A01CD"/>
    <w:rsid w:val="007A1CB3"/>
    <w:rsid w:val="007A306F"/>
    <w:rsid w:val="007A43A6"/>
    <w:rsid w:val="007A45D7"/>
    <w:rsid w:val="007A5668"/>
    <w:rsid w:val="007A58A6"/>
    <w:rsid w:val="007A6F2A"/>
    <w:rsid w:val="007A75E0"/>
    <w:rsid w:val="007A7628"/>
    <w:rsid w:val="007A7AEC"/>
    <w:rsid w:val="007B0960"/>
    <w:rsid w:val="007B1D0F"/>
    <w:rsid w:val="007B2948"/>
    <w:rsid w:val="007B33C6"/>
    <w:rsid w:val="007B3D2D"/>
    <w:rsid w:val="007B50AE"/>
    <w:rsid w:val="007B51DF"/>
    <w:rsid w:val="007B69E3"/>
    <w:rsid w:val="007B69F1"/>
    <w:rsid w:val="007B7505"/>
    <w:rsid w:val="007C03C6"/>
    <w:rsid w:val="007C05DD"/>
    <w:rsid w:val="007C2AD6"/>
    <w:rsid w:val="007C3D18"/>
    <w:rsid w:val="007C60BF"/>
    <w:rsid w:val="007C6A07"/>
    <w:rsid w:val="007C75A1"/>
    <w:rsid w:val="007C77A5"/>
    <w:rsid w:val="007D04E5"/>
    <w:rsid w:val="007D1395"/>
    <w:rsid w:val="007D152A"/>
    <w:rsid w:val="007D23E3"/>
    <w:rsid w:val="007D29EC"/>
    <w:rsid w:val="007D351B"/>
    <w:rsid w:val="007D3CAC"/>
    <w:rsid w:val="007D5901"/>
    <w:rsid w:val="007D7526"/>
    <w:rsid w:val="007D7B56"/>
    <w:rsid w:val="007E2740"/>
    <w:rsid w:val="007E313E"/>
    <w:rsid w:val="007E4221"/>
    <w:rsid w:val="007E434D"/>
    <w:rsid w:val="007E4610"/>
    <w:rsid w:val="007E4715"/>
    <w:rsid w:val="007E505B"/>
    <w:rsid w:val="007E5B02"/>
    <w:rsid w:val="007E64BA"/>
    <w:rsid w:val="007E6E68"/>
    <w:rsid w:val="007E7059"/>
    <w:rsid w:val="007E7091"/>
    <w:rsid w:val="007F37F6"/>
    <w:rsid w:val="00800624"/>
    <w:rsid w:val="00803FAE"/>
    <w:rsid w:val="00805443"/>
    <w:rsid w:val="00805EE7"/>
    <w:rsid w:val="0080605F"/>
    <w:rsid w:val="00806608"/>
    <w:rsid w:val="00807786"/>
    <w:rsid w:val="0080781D"/>
    <w:rsid w:val="008109AC"/>
    <w:rsid w:val="00811550"/>
    <w:rsid w:val="00811FCB"/>
    <w:rsid w:val="0081417E"/>
    <w:rsid w:val="008156D1"/>
    <w:rsid w:val="008158D6"/>
    <w:rsid w:val="00816519"/>
    <w:rsid w:val="00816925"/>
    <w:rsid w:val="00817196"/>
    <w:rsid w:val="00817A2A"/>
    <w:rsid w:val="00817A9E"/>
    <w:rsid w:val="00821490"/>
    <w:rsid w:val="008235DB"/>
    <w:rsid w:val="00824AB4"/>
    <w:rsid w:val="00825C42"/>
    <w:rsid w:val="00825D25"/>
    <w:rsid w:val="00827786"/>
    <w:rsid w:val="00827D6F"/>
    <w:rsid w:val="00832E2E"/>
    <w:rsid w:val="00833681"/>
    <w:rsid w:val="008376AC"/>
    <w:rsid w:val="00841637"/>
    <w:rsid w:val="0084282F"/>
    <w:rsid w:val="00842CD5"/>
    <w:rsid w:val="008444E8"/>
    <w:rsid w:val="00844E80"/>
    <w:rsid w:val="008461F7"/>
    <w:rsid w:val="008463A4"/>
    <w:rsid w:val="00846645"/>
    <w:rsid w:val="008469CC"/>
    <w:rsid w:val="00846FE7"/>
    <w:rsid w:val="00851558"/>
    <w:rsid w:val="00853443"/>
    <w:rsid w:val="008562B4"/>
    <w:rsid w:val="00856911"/>
    <w:rsid w:val="00856AF8"/>
    <w:rsid w:val="0086032C"/>
    <w:rsid w:val="00863BD6"/>
    <w:rsid w:val="00866762"/>
    <w:rsid w:val="00866986"/>
    <w:rsid w:val="008677FD"/>
    <w:rsid w:val="008706D4"/>
    <w:rsid w:val="00870F8A"/>
    <w:rsid w:val="008719A4"/>
    <w:rsid w:val="00871D23"/>
    <w:rsid w:val="00872BDC"/>
    <w:rsid w:val="00873977"/>
    <w:rsid w:val="00874312"/>
    <w:rsid w:val="0087437C"/>
    <w:rsid w:val="0087441F"/>
    <w:rsid w:val="00875CD7"/>
    <w:rsid w:val="00876B4D"/>
    <w:rsid w:val="0087711E"/>
    <w:rsid w:val="00877F18"/>
    <w:rsid w:val="008801C6"/>
    <w:rsid w:val="00880B40"/>
    <w:rsid w:val="00882506"/>
    <w:rsid w:val="00884034"/>
    <w:rsid w:val="00890415"/>
    <w:rsid w:val="008941E3"/>
    <w:rsid w:val="0089487F"/>
    <w:rsid w:val="00894A88"/>
    <w:rsid w:val="00895386"/>
    <w:rsid w:val="00895F33"/>
    <w:rsid w:val="00897245"/>
    <w:rsid w:val="00897572"/>
    <w:rsid w:val="008A21FF"/>
    <w:rsid w:val="008A2CE2"/>
    <w:rsid w:val="008A30AC"/>
    <w:rsid w:val="008A44B8"/>
    <w:rsid w:val="008A51A8"/>
    <w:rsid w:val="008A54C7"/>
    <w:rsid w:val="008A6837"/>
    <w:rsid w:val="008A6E9B"/>
    <w:rsid w:val="008A77D8"/>
    <w:rsid w:val="008B0483"/>
    <w:rsid w:val="008B120C"/>
    <w:rsid w:val="008B185F"/>
    <w:rsid w:val="008B3376"/>
    <w:rsid w:val="008B38B0"/>
    <w:rsid w:val="008B398F"/>
    <w:rsid w:val="008B3ACA"/>
    <w:rsid w:val="008B44C5"/>
    <w:rsid w:val="008B51A0"/>
    <w:rsid w:val="008B592A"/>
    <w:rsid w:val="008B7B5C"/>
    <w:rsid w:val="008C0C99"/>
    <w:rsid w:val="008C2017"/>
    <w:rsid w:val="008C2E1C"/>
    <w:rsid w:val="008C4958"/>
    <w:rsid w:val="008C4BAA"/>
    <w:rsid w:val="008C6AE8"/>
    <w:rsid w:val="008C70A3"/>
    <w:rsid w:val="008C7573"/>
    <w:rsid w:val="008D00A5"/>
    <w:rsid w:val="008D13BB"/>
    <w:rsid w:val="008D34F1"/>
    <w:rsid w:val="008D39D8"/>
    <w:rsid w:val="008D4C6E"/>
    <w:rsid w:val="008D6D1A"/>
    <w:rsid w:val="008D750F"/>
    <w:rsid w:val="008D754A"/>
    <w:rsid w:val="008E065E"/>
    <w:rsid w:val="008E0927"/>
    <w:rsid w:val="008E1909"/>
    <w:rsid w:val="008E1E79"/>
    <w:rsid w:val="008E1F62"/>
    <w:rsid w:val="008E3F6A"/>
    <w:rsid w:val="008E5A96"/>
    <w:rsid w:val="008E5AB1"/>
    <w:rsid w:val="008F1C4E"/>
    <w:rsid w:val="008F1E1C"/>
    <w:rsid w:val="008F1EAB"/>
    <w:rsid w:val="008F2512"/>
    <w:rsid w:val="008F33DC"/>
    <w:rsid w:val="008F477F"/>
    <w:rsid w:val="008F6518"/>
    <w:rsid w:val="00902350"/>
    <w:rsid w:val="0090336B"/>
    <w:rsid w:val="009053AA"/>
    <w:rsid w:val="00906939"/>
    <w:rsid w:val="00910B7D"/>
    <w:rsid w:val="009111FD"/>
    <w:rsid w:val="00911DFB"/>
    <w:rsid w:val="009139D9"/>
    <w:rsid w:val="00914AD8"/>
    <w:rsid w:val="00914DC5"/>
    <w:rsid w:val="009158ED"/>
    <w:rsid w:val="00916079"/>
    <w:rsid w:val="00916A32"/>
    <w:rsid w:val="00916F2A"/>
    <w:rsid w:val="00917CE9"/>
    <w:rsid w:val="00920BF2"/>
    <w:rsid w:val="00922010"/>
    <w:rsid w:val="00923779"/>
    <w:rsid w:val="009237DA"/>
    <w:rsid w:val="00925180"/>
    <w:rsid w:val="00926259"/>
    <w:rsid w:val="00931BD9"/>
    <w:rsid w:val="00933FFC"/>
    <w:rsid w:val="009368F3"/>
    <w:rsid w:val="009403FD"/>
    <w:rsid w:val="00941636"/>
    <w:rsid w:val="0094215A"/>
    <w:rsid w:val="00943742"/>
    <w:rsid w:val="00944FB1"/>
    <w:rsid w:val="00945C05"/>
    <w:rsid w:val="00946945"/>
    <w:rsid w:val="00947713"/>
    <w:rsid w:val="009504D8"/>
    <w:rsid w:val="00950805"/>
    <w:rsid w:val="009508A5"/>
    <w:rsid w:val="00950DE7"/>
    <w:rsid w:val="00953920"/>
    <w:rsid w:val="00953D47"/>
    <w:rsid w:val="009558D8"/>
    <w:rsid w:val="0095681E"/>
    <w:rsid w:val="009572D4"/>
    <w:rsid w:val="00957F77"/>
    <w:rsid w:val="00961921"/>
    <w:rsid w:val="0096430A"/>
    <w:rsid w:val="0096554B"/>
    <w:rsid w:val="00965597"/>
    <w:rsid w:val="0096584A"/>
    <w:rsid w:val="00966818"/>
    <w:rsid w:val="009668E6"/>
    <w:rsid w:val="00967212"/>
    <w:rsid w:val="009708BF"/>
    <w:rsid w:val="00971F08"/>
    <w:rsid w:val="00972943"/>
    <w:rsid w:val="00972A05"/>
    <w:rsid w:val="00974D6F"/>
    <w:rsid w:val="00975EE8"/>
    <w:rsid w:val="0097603D"/>
    <w:rsid w:val="00976949"/>
    <w:rsid w:val="00980477"/>
    <w:rsid w:val="00980E29"/>
    <w:rsid w:val="0098315D"/>
    <w:rsid w:val="00984A76"/>
    <w:rsid w:val="00985253"/>
    <w:rsid w:val="009853B3"/>
    <w:rsid w:val="00985596"/>
    <w:rsid w:val="00985C31"/>
    <w:rsid w:val="00986054"/>
    <w:rsid w:val="00990630"/>
    <w:rsid w:val="00990B32"/>
    <w:rsid w:val="00991505"/>
    <w:rsid w:val="00991761"/>
    <w:rsid w:val="00991B49"/>
    <w:rsid w:val="00991E1A"/>
    <w:rsid w:val="00993648"/>
    <w:rsid w:val="00993D2A"/>
    <w:rsid w:val="00994DCA"/>
    <w:rsid w:val="00995187"/>
    <w:rsid w:val="009960EC"/>
    <w:rsid w:val="009970DD"/>
    <w:rsid w:val="009A0FBA"/>
    <w:rsid w:val="009A1601"/>
    <w:rsid w:val="009A3095"/>
    <w:rsid w:val="009A3BB6"/>
    <w:rsid w:val="009A4490"/>
    <w:rsid w:val="009A462D"/>
    <w:rsid w:val="009A5CBA"/>
    <w:rsid w:val="009A7ADD"/>
    <w:rsid w:val="009B0AA6"/>
    <w:rsid w:val="009B1F30"/>
    <w:rsid w:val="009B3AC2"/>
    <w:rsid w:val="009B47E2"/>
    <w:rsid w:val="009B4DF4"/>
    <w:rsid w:val="009B564E"/>
    <w:rsid w:val="009B78C4"/>
    <w:rsid w:val="009B7E87"/>
    <w:rsid w:val="009C0169"/>
    <w:rsid w:val="009C16C0"/>
    <w:rsid w:val="009C403E"/>
    <w:rsid w:val="009C4604"/>
    <w:rsid w:val="009C4CB2"/>
    <w:rsid w:val="009C4E57"/>
    <w:rsid w:val="009C64B2"/>
    <w:rsid w:val="009C6755"/>
    <w:rsid w:val="009D02F8"/>
    <w:rsid w:val="009D1C41"/>
    <w:rsid w:val="009D2A6D"/>
    <w:rsid w:val="009D4FF0"/>
    <w:rsid w:val="009D4FFD"/>
    <w:rsid w:val="009D6E9A"/>
    <w:rsid w:val="009D703C"/>
    <w:rsid w:val="009D718F"/>
    <w:rsid w:val="009E068F"/>
    <w:rsid w:val="009E144D"/>
    <w:rsid w:val="009E14E0"/>
    <w:rsid w:val="009E2B8B"/>
    <w:rsid w:val="009E35DB"/>
    <w:rsid w:val="009E3F7E"/>
    <w:rsid w:val="009E47A3"/>
    <w:rsid w:val="009E6E9C"/>
    <w:rsid w:val="009F054E"/>
    <w:rsid w:val="009F08F3"/>
    <w:rsid w:val="009F344F"/>
    <w:rsid w:val="009F37EB"/>
    <w:rsid w:val="009F56FD"/>
    <w:rsid w:val="009F6896"/>
    <w:rsid w:val="009F6C9A"/>
    <w:rsid w:val="00A01A8A"/>
    <w:rsid w:val="00A02D3F"/>
    <w:rsid w:val="00A031D8"/>
    <w:rsid w:val="00A037B2"/>
    <w:rsid w:val="00A03D2B"/>
    <w:rsid w:val="00A048A8"/>
    <w:rsid w:val="00A04F00"/>
    <w:rsid w:val="00A04F49"/>
    <w:rsid w:val="00A06A93"/>
    <w:rsid w:val="00A07121"/>
    <w:rsid w:val="00A10320"/>
    <w:rsid w:val="00A10E4D"/>
    <w:rsid w:val="00A12AB6"/>
    <w:rsid w:val="00A13E54"/>
    <w:rsid w:val="00A147BD"/>
    <w:rsid w:val="00A1689C"/>
    <w:rsid w:val="00A17F63"/>
    <w:rsid w:val="00A21344"/>
    <w:rsid w:val="00A2193B"/>
    <w:rsid w:val="00A2316E"/>
    <w:rsid w:val="00A232ED"/>
    <w:rsid w:val="00A2351A"/>
    <w:rsid w:val="00A264A9"/>
    <w:rsid w:val="00A26DCF"/>
    <w:rsid w:val="00A27785"/>
    <w:rsid w:val="00A30187"/>
    <w:rsid w:val="00A3282A"/>
    <w:rsid w:val="00A32CAA"/>
    <w:rsid w:val="00A3408F"/>
    <w:rsid w:val="00A3448A"/>
    <w:rsid w:val="00A35888"/>
    <w:rsid w:val="00A36297"/>
    <w:rsid w:val="00A4164D"/>
    <w:rsid w:val="00A41E2B"/>
    <w:rsid w:val="00A43425"/>
    <w:rsid w:val="00A44885"/>
    <w:rsid w:val="00A44DB4"/>
    <w:rsid w:val="00A45B74"/>
    <w:rsid w:val="00A46629"/>
    <w:rsid w:val="00A469B4"/>
    <w:rsid w:val="00A46D21"/>
    <w:rsid w:val="00A47ADB"/>
    <w:rsid w:val="00A52E1D"/>
    <w:rsid w:val="00A533A1"/>
    <w:rsid w:val="00A54177"/>
    <w:rsid w:val="00A575AC"/>
    <w:rsid w:val="00A57721"/>
    <w:rsid w:val="00A61499"/>
    <w:rsid w:val="00A62A77"/>
    <w:rsid w:val="00A62AA9"/>
    <w:rsid w:val="00A63483"/>
    <w:rsid w:val="00A63A1F"/>
    <w:rsid w:val="00A657D7"/>
    <w:rsid w:val="00A65EA4"/>
    <w:rsid w:val="00A660AC"/>
    <w:rsid w:val="00A67E6C"/>
    <w:rsid w:val="00A71B99"/>
    <w:rsid w:val="00A71FEC"/>
    <w:rsid w:val="00A739D0"/>
    <w:rsid w:val="00A761D4"/>
    <w:rsid w:val="00A76C96"/>
    <w:rsid w:val="00A77EC4"/>
    <w:rsid w:val="00A800D7"/>
    <w:rsid w:val="00A80C23"/>
    <w:rsid w:val="00A83574"/>
    <w:rsid w:val="00A84FB0"/>
    <w:rsid w:val="00A85CE0"/>
    <w:rsid w:val="00A85DA9"/>
    <w:rsid w:val="00A86573"/>
    <w:rsid w:val="00A908E7"/>
    <w:rsid w:val="00A91735"/>
    <w:rsid w:val="00A91F1A"/>
    <w:rsid w:val="00A92879"/>
    <w:rsid w:val="00A92D2E"/>
    <w:rsid w:val="00A93F64"/>
    <w:rsid w:val="00A9442A"/>
    <w:rsid w:val="00A97239"/>
    <w:rsid w:val="00AA016F"/>
    <w:rsid w:val="00AA124B"/>
    <w:rsid w:val="00AA1ED6"/>
    <w:rsid w:val="00AA51D6"/>
    <w:rsid w:val="00AA7CFF"/>
    <w:rsid w:val="00AB092E"/>
    <w:rsid w:val="00AB0BC8"/>
    <w:rsid w:val="00AB11CA"/>
    <w:rsid w:val="00AB14D9"/>
    <w:rsid w:val="00AB1733"/>
    <w:rsid w:val="00AB199C"/>
    <w:rsid w:val="00AB4AB8"/>
    <w:rsid w:val="00AB4E79"/>
    <w:rsid w:val="00AB655E"/>
    <w:rsid w:val="00AB7D96"/>
    <w:rsid w:val="00AB7E5B"/>
    <w:rsid w:val="00AC007F"/>
    <w:rsid w:val="00AC0E89"/>
    <w:rsid w:val="00AC1089"/>
    <w:rsid w:val="00AC136C"/>
    <w:rsid w:val="00AC2ECD"/>
    <w:rsid w:val="00AC3119"/>
    <w:rsid w:val="00AC35FE"/>
    <w:rsid w:val="00AC49FB"/>
    <w:rsid w:val="00AC4BC0"/>
    <w:rsid w:val="00AC5A10"/>
    <w:rsid w:val="00AC5E55"/>
    <w:rsid w:val="00AD0AA3"/>
    <w:rsid w:val="00AD0F0F"/>
    <w:rsid w:val="00AD2614"/>
    <w:rsid w:val="00AD2ED0"/>
    <w:rsid w:val="00AD3F94"/>
    <w:rsid w:val="00AD4A5A"/>
    <w:rsid w:val="00AE0CF2"/>
    <w:rsid w:val="00AE120C"/>
    <w:rsid w:val="00AE16B3"/>
    <w:rsid w:val="00AE27AC"/>
    <w:rsid w:val="00AE3591"/>
    <w:rsid w:val="00AE3EBA"/>
    <w:rsid w:val="00AE40E0"/>
    <w:rsid w:val="00AE4DBA"/>
    <w:rsid w:val="00AE4F07"/>
    <w:rsid w:val="00AF1C5D"/>
    <w:rsid w:val="00AF42D7"/>
    <w:rsid w:val="00AF75B2"/>
    <w:rsid w:val="00B00668"/>
    <w:rsid w:val="00B006FE"/>
    <w:rsid w:val="00B007CB"/>
    <w:rsid w:val="00B02AA9"/>
    <w:rsid w:val="00B02FA3"/>
    <w:rsid w:val="00B03360"/>
    <w:rsid w:val="00B05084"/>
    <w:rsid w:val="00B0645F"/>
    <w:rsid w:val="00B06AF3"/>
    <w:rsid w:val="00B07355"/>
    <w:rsid w:val="00B10A4D"/>
    <w:rsid w:val="00B10EEF"/>
    <w:rsid w:val="00B139C7"/>
    <w:rsid w:val="00B157F9"/>
    <w:rsid w:val="00B16B5C"/>
    <w:rsid w:val="00B170F8"/>
    <w:rsid w:val="00B17CD9"/>
    <w:rsid w:val="00B20256"/>
    <w:rsid w:val="00B20D09"/>
    <w:rsid w:val="00B22056"/>
    <w:rsid w:val="00B2280E"/>
    <w:rsid w:val="00B2605A"/>
    <w:rsid w:val="00B26D52"/>
    <w:rsid w:val="00B2763F"/>
    <w:rsid w:val="00B27AAC"/>
    <w:rsid w:val="00B30929"/>
    <w:rsid w:val="00B31B73"/>
    <w:rsid w:val="00B33C0D"/>
    <w:rsid w:val="00B33F35"/>
    <w:rsid w:val="00B35DFF"/>
    <w:rsid w:val="00B372AA"/>
    <w:rsid w:val="00B372C9"/>
    <w:rsid w:val="00B40445"/>
    <w:rsid w:val="00B409E0"/>
    <w:rsid w:val="00B41888"/>
    <w:rsid w:val="00B444AD"/>
    <w:rsid w:val="00B45792"/>
    <w:rsid w:val="00B45A52"/>
    <w:rsid w:val="00B46175"/>
    <w:rsid w:val="00B46A26"/>
    <w:rsid w:val="00B50E71"/>
    <w:rsid w:val="00B548B7"/>
    <w:rsid w:val="00B54904"/>
    <w:rsid w:val="00B57564"/>
    <w:rsid w:val="00B57AB1"/>
    <w:rsid w:val="00B60DE5"/>
    <w:rsid w:val="00B60F74"/>
    <w:rsid w:val="00B64B7F"/>
    <w:rsid w:val="00B6644F"/>
    <w:rsid w:val="00B664C7"/>
    <w:rsid w:val="00B679F9"/>
    <w:rsid w:val="00B739F6"/>
    <w:rsid w:val="00B75459"/>
    <w:rsid w:val="00B77C0D"/>
    <w:rsid w:val="00B81A6C"/>
    <w:rsid w:val="00B8452C"/>
    <w:rsid w:val="00B848BE"/>
    <w:rsid w:val="00B84D2D"/>
    <w:rsid w:val="00B850D2"/>
    <w:rsid w:val="00B85DE5"/>
    <w:rsid w:val="00B86DC9"/>
    <w:rsid w:val="00B90EF4"/>
    <w:rsid w:val="00B90F73"/>
    <w:rsid w:val="00B9307B"/>
    <w:rsid w:val="00B939B8"/>
    <w:rsid w:val="00B93B59"/>
    <w:rsid w:val="00B9406A"/>
    <w:rsid w:val="00B94B21"/>
    <w:rsid w:val="00B96718"/>
    <w:rsid w:val="00BA1201"/>
    <w:rsid w:val="00BA2280"/>
    <w:rsid w:val="00BA2A08"/>
    <w:rsid w:val="00BA2DBE"/>
    <w:rsid w:val="00BA32E8"/>
    <w:rsid w:val="00BA448E"/>
    <w:rsid w:val="00BA56D2"/>
    <w:rsid w:val="00BA76E0"/>
    <w:rsid w:val="00BB2A25"/>
    <w:rsid w:val="00BB51E9"/>
    <w:rsid w:val="00BB718C"/>
    <w:rsid w:val="00BC038F"/>
    <w:rsid w:val="00BC0FDC"/>
    <w:rsid w:val="00BC23EC"/>
    <w:rsid w:val="00BC2CCC"/>
    <w:rsid w:val="00BC3053"/>
    <w:rsid w:val="00BC3A9B"/>
    <w:rsid w:val="00BC3BEA"/>
    <w:rsid w:val="00BC4D2E"/>
    <w:rsid w:val="00BC4D4B"/>
    <w:rsid w:val="00BC5751"/>
    <w:rsid w:val="00BC67AB"/>
    <w:rsid w:val="00BC782B"/>
    <w:rsid w:val="00BCE7DF"/>
    <w:rsid w:val="00BD04AD"/>
    <w:rsid w:val="00BD437D"/>
    <w:rsid w:val="00BD48AC"/>
    <w:rsid w:val="00BD5083"/>
    <w:rsid w:val="00BD5F1A"/>
    <w:rsid w:val="00BD7B3D"/>
    <w:rsid w:val="00BE1234"/>
    <w:rsid w:val="00BE1C90"/>
    <w:rsid w:val="00BE20A5"/>
    <w:rsid w:val="00BE2FA6"/>
    <w:rsid w:val="00BE333F"/>
    <w:rsid w:val="00BE53CA"/>
    <w:rsid w:val="00BE6910"/>
    <w:rsid w:val="00BE7406"/>
    <w:rsid w:val="00BE7603"/>
    <w:rsid w:val="00BE7D47"/>
    <w:rsid w:val="00BF3279"/>
    <w:rsid w:val="00BF5376"/>
    <w:rsid w:val="00BF74C7"/>
    <w:rsid w:val="00BF790A"/>
    <w:rsid w:val="00BF7D59"/>
    <w:rsid w:val="00C00817"/>
    <w:rsid w:val="00C00ECF"/>
    <w:rsid w:val="00C010B2"/>
    <w:rsid w:val="00C015F1"/>
    <w:rsid w:val="00C01767"/>
    <w:rsid w:val="00C01F33"/>
    <w:rsid w:val="00C02CC6"/>
    <w:rsid w:val="00C03523"/>
    <w:rsid w:val="00C040F7"/>
    <w:rsid w:val="00C044AB"/>
    <w:rsid w:val="00C04B09"/>
    <w:rsid w:val="00C05706"/>
    <w:rsid w:val="00C07377"/>
    <w:rsid w:val="00C074CF"/>
    <w:rsid w:val="00C10478"/>
    <w:rsid w:val="00C10570"/>
    <w:rsid w:val="00C12107"/>
    <w:rsid w:val="00C1385C"/>
    <w:rsid w:val="00C14D4B"/>
    <w:rsid w:val="00C14DB3"/>
    <w:rsid w:val="00C154BB"/>
    <w:rsid w:val="00C15945"/>
    <w:rsid w:val="00C179F2"/>
    <w:rsid w:val="00C17F10"/>
    <w:rsid w:val="00C22811"/>
    <w:rsid w:val="00C2431D"/>
    <w:rsid w:val="00C247F2"/>
    <w:rsid w:val="00C250C0"/>
    <w:rsid w:val="00C25800"/>
    <w:rsid w:val="00C27255"/>
    <w:rsid w:val="00C27684"/>
    <w:rsid w:val="00C279B5"/>
    <w:rsid w:val="00C27C45"/>
    <w:rsid w:val="00C30331"/>
    <w:rsid w:val="00C32337"/>
    <w:rsid w:val="00C3719D"/>
    <w:rsid w:val="00C37A44"/>
    <w:rsid w:val="00C37CB2"/>
    <w:rsid w:val="00C40B7B"/>
    <w:rsid w:val="00C42CE6"/>
    <w:rsid w:val="00C4304D"/>
    <w:rsid w:val="00C473A5"/>
    <w:rsid w:val="00C47614"/>
    <w:rsid w:val="00C51DD9"/>
    <w:rsid w:val="00C52E0D"/>
    <w:rsid w:val="00C53D82"/>
    <w:rsid w:val="00C54995"/>
    <w:rsid w:val="00C54D41"/>
    <w:rsid w:val="00C54F86"/>
    <w:rsid w:val="00C565CB"/>
    <w:rsid w:val="00C60783"/>
    <w:rsid w:val="00C609AA"/>
    <w:rsid w:val="00C62F2F"/>
    <w:rsid w:val="00C6321A"/>
    <w:rsid w:val="00C64672"/>
    <w:rsid w:val="00C65B6C"/>
    <w:rsid w:val="00C6603D"/>
    <w:rsid w:val="00C66727"/>
    <w:rsid w:val="00C67741"/>
    <w:rsid w:val="00C70697"/>
    <w:rsid w:val="00C70717"/>
    <w:rsid w:val="00C70DF3"/>
    <w:rsid w:val="00C7113A"/>
    <w:rsid w:val="00C72093"/>
    <w:rsid w:val="00C72D31"/>
    <w:rsid w:val="00C72EF4"/>
    <w:rsid w:val="00C73085"/>
    <w:rsid w:val="00C744FE"/>
    <w:rsid w:val="00C75109"/>
    <w:rsid w:val="00C75D2F"/>
    <w:rsid w:val="00C767BE"/>
    <w:rsid w:val="00C76E3C"/>
    <w:rsid w:val="00C774B4"/>
    <w:rsid w:val="00C80A09"/>
    <w:rsid w:val="00C81568"/>
    <w:rsid w:val="00C81FF3"/>
    <w:rsid w:val="00C9027A"/>
    <w:rsid w:val="00C9068E"/>
    <w:rsid w:val="00C91D8F"/>
    <w:rsid w:val="00C924F3"/>
    <w:rsid w:val="00C93814"/>
    <w:rsid w:val="00C93C4B"/>
    <w:rsid w:val="00C93DBE"/>
    <w:rsid w:val="00C944AB"/>
    <w:rsid w:val="00C95B40"/>
    <w:rsid w:val="00C97D23"/>
    <w:rsid w:val="00CA0143"/>
    <w:rsid w:val="00CA1805"/>
    <w:rsid w:val="00CA1ED8"/>
    <w:rsid w:val="00CA488B"/>
    <w:rsid w:val="00CA4F74"/>
    <w:rsid w:val="00CA610B"/>
    <w:rsid w:val="00CB1F63"/>
    <w:rsid w:val="00CB2E58"/>
    <w:rsid w:val="00CB34E6"/>
    <w:rsid w:val="00CB4B26"/>
    <w:rsid w:val="00CB4C8C"/>
    <w:rsid w:val="00CB7170"/>
    <w:rsid w:val="00CC040E"/>
    <w:rsid w:val="00CC111F"/>
    <w:rsid w:val="00CC1AC8"/>
    <w:rsid w:val="00CC2011"/>
    <w:rsid w:val="00CC3EA0"/>
    <w:rsid w:val="00CC4963"/>
    <w:rsid w:val="00CC4BBF"/>
    <w:rsid w:val="00CC6B05"/>
    <w:rsid w:val="00CC6C80"/>
    <w:rsid w:val="00CC7601"/>
    <w:rsid w:val="00CC7B45"/>
    <w:rsid w:val="00CD06DF"/>
    <w:rsid w:val="00CD0B26"/>
    <w:rsid w:val="00CD1188"/>
    <w:rsid w:val="00CD2ED1"/>
    <w:rsid w:val="00CD337B"/>
    <w:rsid w:val="00CD427D"/>
    <w:rsid w:val="00CD48DA"/>
    <w:rsid w:val="00CE0424"/>
    <w:rsid w:val="00CE3E5D"/>
    <w:rsid w:val="00CE5492"/>
    <w:rsid w:val="00CE65EC"/>
    <w:rsid w:val="00CE6908"/>
    <w:rsid w:val="00CE7561"/>
    <w:rsid w:val="00CF0CE3"/>
    <w:rsid w:val="00CF1354"/>
    <w:rsid w:val="00CF2757"/>
    <w:rsid w:val="00CF3627"/>
    <w:rsid w:val="00CF3B1F"/>
    <w:rsid w:val="00CF3BF6"/>
    <w:rsid w:val="00CF4980"/>
    <w:rsid w:val="00CF625B"/>
    <w:rsid w:val="00CF687E"/>
    <w:rsid w:val="00CF69A7"/>
    <w:rsid w:val="00CF6D56"/>
    <w:rsid w:val="00D00769"/>
    <w:rsid w:val="00D03479"/>
    <w:rsid w:val="00D0349B"/>
    <w:rsid w:val="00D03F7F"/>
    <w:rsid w:val="00D062AC"/>
    <w:rsid w:val="00D06CF7"/>
    <w:rsid w:val="00D10249"/>
    <w:rsid w:val="00D115C3"/>
    <w:rsid w:val="00D11897"/>
    <w:rsid w:val="00D11B73"/>
    <w:rsid w:val="00D12405"/>
    <w:rsid w:val="00D13135"/>
    <w:rsid w:val="00D136F8"/>
    <w:rsid w:val="00D13DE8"/>
    <w:rsid w:val="00D13E4E"/>
    <w:rsid w:val="00D161F5"/>
    <w:rsid w:val="00D239A7"/>
    <w:rsid w:val="00D23F47"/>
    <w:rsid w:val="00D242D9"/>
    <w:rsid w:val="00D267D0"/>
    <w:rsid w:val="00D31E4D"/>
    <w:rsid w:val="00D34833"/>
    <w:rsid w:val="00D3580C"/>
    <w:rsid w:val="00D35917"/>
    <w:rsid w:val="00D36E71"/>
    <w:rsid w:val="00D3782D"/>
    <w:rsid w:val="00D37D87"/>
    <w:rsid w:val="00D403C2"/>
    <w:rsid w:val="00D40B33"/>
    <w:rsid w:val="00D40B85"/>
    <w:rsid w:val="00D4318F"/>
    <w:rsid w:val="00D438BF"/>
    <w:rsid w:val="00D440BD"/>
    <w:rsid w:val="00D440F8"/>
    <w:rsid w:val="00D4507E"/>
    <w:rsid w:val="00D546C4"/>
    <w:rsid w:val="00D546FF"/>
    <w:rsid w:val="00D55AD5"/>
    <w:rsid w:val="00D55FEB"/>
    <w:rsid w:val="00D56214"/>
    <w:rsid w:val="00D576CA"/>
    <w:rsid w:val="00D57B85"/>
    <w:rsid w:val="00D601BD"/>
    <w:rsid w:val="00D61AF5"/>
    <w:rsid w:val="00D630D7"/>
    <w:rsid w:val="00D643DA"/>
    <w:rsid w:val="00D648AF"/>
    <w:rsid w:val="00D652B5"/>
    <w:rsid w:val="00D66155"/>
    <w:rsid w:val="00D70529"/>
    <w:rsid w:val="00D708B0"/>
    <w:rsid w:val="00D72D2B"/>
    <w:rsid w:val="00D730B0"/>
    <w:rsid w:val="00D734B2"/>
    <w:rsid w:val="00D73ABC"/>
    <w:rsid w:val="00D753BA"/>
    <w:rsid w:val="00D76BD3"/>
    <w:rsid w:val="00D77982"/>
    <w:rsid w:val="00D77B1D"/>
    <w:rsid w:val="00D77C48"/>
    <w:rsid w:val="00D8021F"/>
    <w:rsid w:val="00D80383"/>
    <w:rsid w:val="00D81323"/>
    <w:rsid w:val="00D821FD"/>
    <w:rsid w:val="00D823C6"/>
    <w:rsid w:val="00D8327F"/>
    <w:rsid w:val="00D832A6"/>
    <w:rsid w:val="00D856D9"/>
    <w:rsid w:val="00D86CA3"/>
    <w:rsid w:val="00D871CE"/>
    <w:rsid w:val="00D90174"/>
    <w:rsid w:val="00D9196D"/>
    <w:rsid w:val="00D9280D"/>
    <w:rsid w:val="00D92982"/>
    <w:rsid w:val="00DA0B41"/>
    <w:rsid w:val="00DA0B52"/>
    <w:rsid w:val="00DA110C"/>
    <w:rsid w:val="00DA115E"/>
    <w:rsid w:val="00DA305E"/>
    <w:rsid w:val="00DA426B"/>
    <w:rsid w:val="00DA5417"/>
    <w:rsid w:val="00DA56E8"/>
    <w:rsid w:val="00DB0A9F"/>
    <w:rsid w:val="00DB318A"/>
    <w:rsid w:val="00DB377D"/>
    <w:rsid w:val="00DB5EB8"/>
    <w:rsid w:val="00DB75D2"/>
    <w:rsid w:val="00DC0277"/>
    <w:rsid w:val="00DC066A"/>
    <w:rsid w:val="00DC078F"/>
    <w:rsid w:val="00DC126C"/>
    <w:rsid w:val="00DC152B"/>
    <w:rsid w:val="00DC2D36"/>
    <w:rsid w:val="00DC346A"/>
    <w:rsid w:val="00DC3D15"/>
    <w:rsid w:val="00DC53EF"/>
    <w:rsid w:val="00DC54E9"/>
    <w:rsid w:val="00DD0B88"/>
    <w:rsid w:val="00DD5A2E"/>
    <w:rsid w:val="00DE3AAD"/>
    <w:rsid w:val="00DE5608"/>
    <w:rsid w:val="00DE58D0"/>
    <w:rsid w:val="00DE654F"/>
    <w:rsid w:val="00DE7FD8"/>
    <w:rsid w:val="00DF0B6E"/>
    <w:rsid w:val="00DF15E0"/>
    <w:rsid w:val="00DF23A9"/>
    <w:rsid w:val="00DF2A45"/>
    <w:rsid w:val="00DF37A0"/>
    <w:rsid w:val="00DF5460"/>
    <w:rsid w:val="00E014E3"/>
    <w:rsid w:val="00E037D9"/>
    <w:rsid w:val="00E110E7"/>
    <w:rsid w:val="00E11311"/>
    <w:rsid w:val="00E11A7A"/>
    <w:rsid w:val="00E11B20"/>
    <w:rsid w:val="00E11FA8"/>
    <w:rsid w:val="00E12ED2"/>
    <w:rsid w:val="00E16A07"/>
    <w:rsid w:val="00E17FA2"/>
    <w:rsid w:val="00E205A1"/>
    <w:rsid w:val="00E2066D"/>
    <w:rsid w:val="00E211CB"/>
    <w:rsid w:val="00E22330"/>
    <w:rsid w:val="00E244DC"/>
    <w:rsid w:val="00E27906"/>
    <w:rsid w:val="00E30B5A"/>
    <w:rsid w:val="00E3123D"/>
    <w:rsid w:val="00E313AF"/>
    <w:rsid w:val="00E31461"/>
    <w:rsid w:val="00E31D43"/>
    <w:rsid w:val="00E32053"/>
    <w:rsid w:val="00E32608"/>
    <w:rsid w:val="00E32913"/>
    <w:rsid w:val="00E32C7D"/>
    <w:rsid w:val="00E333F0"/>
    <w:rsid w:val="00E34188"/>
    <w:rsid w:val="00E34B6E"/>
    <w:rsid w:val="00E35559"/>
    <w:rsid w:val="00E3723A"/>
    <w:rsid w:val="00E37860"/>
    <w:rsid w:val="00E417FA"/>
    <w:rsid w:val="00E43A54"/>
    <w:rsid w:val="00E446F1"/>
    <w:rsid w:val="00E45B37"/>
    <w:rsid w:val="00E46886"/>
    <w:rsid w:val="00E46D72"/>
    <w:rsid w:val="00E47AEF"/>
    <w:rsid w:val="00E51A07"/>
    <w:rsid w:val="00E53B75"/>
    <w:rsid w:val="00E54E3B"/>
    <w:rsid w:val="00E54EE0"/>
    <w:rsid w:val="00E55070"/>
    <w:rsid w:val="00E562F4"/>
    <w:rsid w:val="00E56CD5"/>
    <w:rsid w:val="00E57565"/>
    <w:rsid w:val="00E63838"/>
    <w:rsid w:val="00E64434"/>
    <w:rsid w:val="00E67C51"/>
    <w:rsid w:val="00E71F52"/>
    <w:rsid w:val="00E72EFC"/>
    <w:rsid w:val="00E733F9"/>
    <w:rsid w:val="00E758EC"/>
    <w:rsid w:val="00E77FC1"/>
    <w:rsid w:val="00E80E41"/>
    <w:rsid w:val="00E8234C"/>
    <w:rsid w:val="00E83AA9"/>
    <w:rsid w:val="00E85928"/>
    <w:rsid w:val="00E87822"/>
    <w:rsid w:val="00E90395"/>
    <w:rsid w:val="00E90BD0"/>
    <w:rsid w:val="00E90E49"/>
    <w:rsid w:val="00E9135C"/>
    <w:rsid w:val="00E917F9"/>
    <w:rsid w:val="00E9291C"/>
    <w:rsid w:val="00E93C55"/>
    <w:rsid w:val="00E93ECE"/>
    <w:rsid w:val="00E93FFE"/>
    <w:rsid w:val="00E94F8A"/>
    <w:rsid w:val="00E95847"/>
    <w:rsid w:val="00E97E51"/>
    <w:rsid w:val="00EA070A"/>
    <w:rsid w:val="00EA13CC"/>
    <w:rsid w:val="00EA3CA9"/>
    <w:rsid w:val="00EA422C"/>
    <w:rsid w:val="00EA7A41"/>
    <w:rsid w:val="00EB077B"/>
    <w:rsid w:val="00EB1103"/>
    <w:rsid w:val="00EB227F"/>
    <w:rsid w:val="00EB22A9"/>
    <w:rsid w:val="00EB4341"/>
    <w:rsid w:val="00EB4EA2"/>
    <w:rsid w:val="00EB62E5"/>
    <w:rsid w:val="00EC24D5"/>
    <w:rsid w:val="00EC27C6"/>
    <w:rsid w:val="00EC4207"/>
    <w:rsid w:val="00EC478D"/>
    <w:rsid w:val="00EC5653"/>
    <w:rsid w:val="00EC57FD"/>
    <w:rsid w:val="00EC71CE"/>
    <w:rsid w:val="00ED1006"/>
    <w:rsid w:val="00ED3100"/>
    <w:rsid w:val="00ED569F"/>
    <w:rsid w:val="00ED7043"/>
    <w:rsid w:val="00EE121D"/>
    <w:rsid w:val="00EE22E8"/>
    <w:rsid w:val="00EE46E4"/>
    <w:rsid w:val="00EE4B5A"/>
    <w:rsid w:val="00EE5324"/>
    <w:rsid w:val="00EE55BE"/>
    <w:rsid w:val="00EF0C8B"/>
    <w:rsid w:val="00EF18FE"/>
    <w:rsid w:val="00EF5787"/>
    <w:rsid w:val="00EF60D0"/>
    <w:rsid w:val="00EF733A"/>
    <w:rsid w:val="00F0084D"/>
    <w:rsid w:val="00F01E6B"/>
    <w:rsid w:val="00F020DC"/>
    <w:rsid w:val="00F024C3"/>
    <w:rsid w:val="00F0528D"/>
    <w:rsid w:val="00F05B14"/>
    <w:rsid w:val="00F06C67"/>
    <w:rsid w:val="00F06DFD"/>
    <w:rsid w:val="00F071D1"/>
    <w:rsid w:val="00F07533"/>
    <w:rsid w:val="00F1012C"/>
    <w:rsid w:val="00F101FE"/>
    <w:rsid w:val="00F10629"/>
    <w:rsid w:val="00F1214E"/>
    <w:rsid w:val="00F137F1"/>
    <w:rsid w:val="00F140B0"/>
    <w:rsid w:val="00F15FA5"/>
    <w:rsid w:val="00F209B7"/>
    <w:rsid w:val="00F2376F"/>
    <w:rsid w:val="00F23EFF"/>
    <w:rsid w:val="00F243D8"/>
    <w:rsid w:val="00F26B37"/>
    <w:rsid w:val="00F30828"/>
    <w:rsid w:val="00F31397"/>
    <w:rsid w:val="00F313D6"/>
    <w:rsid w:val="00F31515"/>
    <w:rsid w:val="00F31E48"/>
    <w:rsid w:val="00F33123"/>
    <w:rsid w:val="00F344B9"/>
    <w:rsid w:val="00F34BA1"/>
    <w:rsid w:val="00F40F0C"/>
    <w:rsid w:val="00F449D3"/>
    <w:rsid w:val="00F44A4C"/>
    <w:rsid w:val="00F4766C"/>
    <w:rsid w:val="00F47880"/>
    <w:rsid w:val="00F47C1A"/>
    <w:rsid w:val="00F47CEB"/>
    <w:rsid w:val="00F47D66"/>
    <w:rsid w:val="00F5060E"/>
    <w:rsid w:val="00F507D1"/>
    <w:rsid w:val="00F50823"/>
    <w:rsid w:val="00F50CE6"/>
    <w:rsid w:val="00F50EF5"/>
    <w:rsid w:val="00F519CE"/>
    <w:rsid w:val="00F51ADA"/>
    <w:rsid w:val="00F60203"/>
    <w:rsid w:val="00F607C5"/>
    <w:rsid w:val="00F60DEA"/>
    <w:rsid w:val="00F62AF1"/>
    <w:rsid w:val="00F6302A"/>
    <w:rsid w:val="00F63950"/>
    <w:rsid w:val="00F64808"/>
    <w:rsid w:val="00F64C2B"/>
    <w:rsid w:val="00F651BE"/>
    <w:rsid w:val="00F66B96"/>
    <w:rsid w:val="00F66E03"/>
    <w:rsid w:val="00F67A91"/>
    <w:rsid w:val="00F67F53"/>
    <w:rsid w:val="00F703BE"/>
    <w:rsid w:val="00F710F8"/>
    <w:rsid w:val="00F71F69"/>
    <w:rsid w:val="00F72B72"/>
    <w:rsid w:val="00F74BB9"/>
    <w:rsid w:val="00F75582"/>
    <w:rsid w:val="00F75DA4"/>
    <w:rsid w:val="00F7673C"/>
    <w:rsid w:val="00F76EFA"/>
    <w:rsid w:val="00F804BE"/>
    <w:rsid w:val="00F817CE"/>
    <w:rsid w:val="00F83EF3"/>
    <w:rsid w:val="00F8456C"/>
    <w:rsid w:val="00F85808"/>
    <w:rsid w:val="00F859D8"/>
    <w:rsid w:val="00F868F5"/>
    <w:rsid w:val="00F87EED"/>
    <w:rsid w:val="00F9056A"/>
    <w:rsid w:val="00F90F8D"/>
    <w:rsid w:val="00F92782"/>
    <w:rsid w:val="00F93AA9"/>
    <w:rsid w:val="00F9535E"/>
    <w:rsid w:val="00F955D6"/>
    <w:rsid w:val="00F96985"/>
    <w:rsid w:val="00F97590"/>
    <w:rsid w:val="00F97838"/>
    <w:rsid w:val="00F97D0F"/>
    <w:rsid w:val="00FA2BB3"/>
    <w:rsid w:val="00FA31B8"/>
    <w:rsid w:val="00FA3A3F"/>
    <w:rsid w:val="00FA4FF9"/>
    <w:rsid w:val="00FB1855"/>
    <w:rsid w:val="00FB2E80"/>
    <w:rsid w:val="00FB3EDC"/>
    <w:rsid w:val="00FB4C80"/>
    <w:rsid w:val="00FB6A6A"/>
    <w:rsid w:val="00FC0749"/>
    <w:rsid w:val="00FC0767"/>
    <w:rsid w:val="00FC0D47"/>
    <w:rsid w:val="00FC0F52"/>
    <w:rsid w:val="00FC3ADB"/>
    <w:rsid w:val="00FC5760"/>
    <w:rsid w:val="00FC6969"/>
    <w:rsid w:val="00FC7429"/>
    <w:rsid w:val="00FD0582"/>
    <w:rsid w:val="00FD07F6"/>
    <w:rsid w:val="00FD1CBE"/>
    <w:rsid w:val="00FD1EC8"/>
    <w:rsid w:val="00FD3488"/>
    <w:rsid w:val="00FD3EE0"/>
    <w:rsid w:val="00FD47ED"/>
    <w:rsid w:val="00FD74DB"/>
    <w:rsid w:val="00FD7660"/>
    <w:rsid w:val="00FE055F"/>
    <w:rsid w:val="00FE0655"/>
    <w:rsid w:val="00FE069D"/>
    <w:rsid w:val="00FE1360"/>
    <w:rsid w:val="00FE2365"/>
    <w:rsid w:val="00FE2E78"/>
    <w:rsid w:val="00FE37D7"/>
    <w:rsid w:val="00FE3B47"/>
    <w:rsid w:val="00FE4C7B"/>
    <w:rsid w:val="00FE63DF"/>
    <w:rsid w:val="00FE6D52"/>
    <w:rsid w:val="00FE7336"/>
    <w:rsid w:val="00FE787C"/>
    <w:rsid w:val="00FF06BC"/>
    <w:rsid w:val="00FF0DED"/>
    <w:rsid w:val="00FF1D86"/>
    <w:rsid w:val="00FF3BF7"/>
    <w:rsid w:val="00FF3F9D"/>
    <w:rsid w:val="00FF45A5"/>
    <w:rsid w:val="00FF4F69"/>
    <w:rsid w:val="00FF5C91"/>
    <w:rsid w:val="00FF60AC"/>
    <w:rsid w:val="03E432CB"/>
    <w:rsid w:val="049D67C4"/>
    <w:rsid w:val="0516F7FE"/>
    <w:rsid w:val="0686CC8B"/>
    <w:rsid w:val="06D345FF"/>
    <w:rsid w:val="0A73B3AC"/>
    <w:rsid w:val="0ADA7E8D"/>
    <w:rsid w:val="0F9D66C9"/>
    <w:rsid w:val="10B4A07F"/>
    <w:rsid w:val="11AA49EB"/>
    <w:rsid w:val="14AE7C41"/>
    <w:rsid w:val="15D498E3"/>
    <w:rsid w:val="18562EA9"/>
    <w:rsid w:val="1872DB2C"/>
    <w:rsid w:val="1BF60C7B"/>
    <w:rsid w:val="1C36C07A"/>
    <w:rsid w:val="1DAFB3BD"/>
    <w:rsid w:val="1E29F1A2"/>
    <w:rsid w:val="1F58718E"/>
    <w:rsid w:val="223A6477"/>
    <w:rsid w:val="22805D3F"/>
    <w:rsid w:val="236AB4CE"/>
    <w:rsid w:val="237AE30F"/>
    <w:rsid w:val="24E4C55D"/>
    <w:rsid w:val="254A71AF"/>
    <w:rsid w:val="254DAF4A"/>
    <w:rsid w:val="255DEF01"/>
    <w:rsid w:val="27BB0B8A"/>
    <w:rsid w:val="2994CAE2"/>
    <w:rsid w:val="2A96D1E2"/>
    <w:rsid w:val="2AB4882C"/>
    <w:rsid w:val="2C1B18B8"/>
    <w:rsid w:val="2CC02B29"/>
    <w:rsid w:val="2E1B34CF"/>
    <w:rsid w:val="303E0158"/>
    <w:rsid w:val="30CC44CB"/>
    <w:rsid w:val="30FF0BF9"/>
    <w:rsid w:val="31A49C61"/>
    <w:rsid w:val="34B834EE"/>
    <w:rsid w:val="35C30DB6"/>
    <w:rsid w:val="36A3EDC8"/>
    <w:rsid w:val="36C9802C"/>
    <w:rsid w:val="3849FFFE"/>
    <w:rsid w:val="3BB29EA6"/>
    <w:rsid w:val="41BB0CA6"/>
    <w:rsid w:val="4266B565"/>
    <w:rsid w:val="4474EBE6"/>
    <w:rsid w:val="45601996"/>
    <w:rsid w:val="46DC762B"/>
    <w:rsid w:val="47078C57"/>
    <w:rsid w:val="47C5CE27"/>
    <w:rsid w:val="4957807F"/>
    <w:rsid w:val="4B09D16D"/>
    <w:rsid w:val="4CE8ACD5"/>
    <w:rsid w:val="4D40BE47"/>
    <w:rsid w:val="4D6C74F2"/>
    <w:rsid w:val="4DA21B46"/>
    <w:rsid w:val="4F350196"/>
    <w:rsid w:val="51D366A7"/>
    <w:rsid w:val="55D6BE17"/>
    <w:rsid w:val="571956C2"/>
    <w:rsid w:val="582BA434"/>
    <w:rsid w:val="5AA85E00"/>
    <w:rsid w:val="60D4D1F2"/>
    <w:rsid w:val="626A3B4D"/>
    <w:rsid w:val="629467CD"/>
    <w:rsid w:val="62DB0F0D"/>
    <w:rsid w:val="66399BD3"/>
    <w:rsid w:val="667361F8"/>
    <w:rsid w:val="670469FD"/>
    <w:rsid w:val="67AA467A"/>
    <w:rsid w:val="6AD1A4A0"/>
    <w:rsid w:val="6AFAB38F"/>
    <w:rsid w:val="6B0B1DD4"/>
    <w:rsid w:val="6C5E4474"/>
    <w:rsid w:val="6CFFE4EA"/>
    <w:rsid w:val="6D5EEAD0"/>
    <w:rsid w:val="6F35D6ED"/>
    <w:rsid w:val="7209C143"/>
    <w:rsid w:val="734A16C4"/>
    <w:rsid w:val="7655B405"/>
    <w:rsid w:val="76E6B7BC"/>
    <w:rsid w:val="77F229AE"/>
    <w:rsid w:val="78B09583"/>
    <w:rsid w:val="79CD5C32"/>
    <w:rsid w:val="7ABE7667"/>
    <w:rsid w:val="7B0EC00B"/>
    <w:rsid w:val="7D4AA8F8"/>
    <w:rsid w:val="7E65B4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1327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4B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CC7601"/>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CC760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C7601"/>
    <w:pPr>
      <w:numPr>
        <w:ilvl w:val="2"/>
      </w:numPr>
      <w:spacing w:before="120"/>
      <w:outlineLvl w:val="2"/>
    </w:pPr>
    <w:rPr>
      <w:sz w:val="28"/>
    </w:rPr>
  </w:style>
  <w:style w:type="paragraph" w:styleId="Heading4">
    <w:name w:val="heading 4"/>
    <w:basedOn w:val="Heading3"/>
    <w:next w:val="Normal"/>
    <w:link w:val="Heading4Char"/>
    <w:qFormat/>
    <w:rsid w:val="00CC7601"/>
    <w:pPr>
      <w:numPr>
        <w:ilvl w:val="3"/>
      </w:numPr>
      <w:outlineLvl w:val="3"/>
    </w:pPr>
    <w:rPr>
      <w:sz w:val="24"/>
    </w:rPr>
  </w:style>
  <w:style w:type="paragraph" w:styleId="Heading5">
    <w:name w:val="heading 5"/>
    <w:basedOn w:val="Heading4"/>
    <w:next w:val="Normal"/>
    <w:link w:val="Heading5Char"/>
    <w:qFormat/>
    <w:rsid w:val="00CC7601"/>
    <w:pPr>
      <w:numPr>
        <w:ilvl w:val="4"/>
      </w:numPr>
      <w:outlineLvl w:val="4"/>
    </w:pPr>
    <w:rPr>
      <w:sz w:val="22"/>
    </w:rPr>
  </w:style>
  <w:style w:type="paragraph" w:styleId="Heading6">
    <w:name w:val="heading 6"/>
    <w:basedOn w:val="H6"/>
    <w:next w:val="Normal"/>
    <w:link w:val="Heading6Char"/>
    <w:qFormat/>
    <w:rsid w:val="00CC7601"/>
    <w:pPr>
      <w:numPr>
        <w:ilvl w:val="5"/>
        <w:numId w:val="23"/>
      </w:numPr>
      <w:outlineLvl w:val="5"/>
    </w:pPr>
  </w:style>
  <w:style w:type="paragraph" w:styleId="Heading7">
    <w:name w:val="heading 7"/>
    <w:basedOn w:val="H6"/>
    <w:next w:val="Normal"/>
    <w:link w:val="Heading7Char"/>
    <w:qFormat/>
    <w:rsid w:val="00CC7601"/>
    <w:pPr>
      <w:numPr>
        <w:ilvl w:val="6"/>
        <w:numId w:val="23"/>
      </w:numPr>
      <w:outlineLvl w:val="6"/>
    </w:pPr>
  </w:style>
  <w:style w:type="paragraph" w:styleId="Heading8">
    <w:name w:val="heading 8"/>
    <w:basedOn w:val="Heading1"/>
    <w:next w:val="Normal"/>
    <w:link w:val="Heading8Char"/>
    <w:qFormat/>
    <w:rsid w:val="00CC7601"/>
    <w:pPr>
      <w:numPr>
        <w:ilvl w:val="7"/>
      </w:numPr>
      <w:outlineLvl w:val="7"/>
    </w:pPr>
  </w:style>
  <w:style w:type="paragraph" w:styleId="Heading9">
    <w:name w:val="heading 9"/>
    <w:basedOn w:val="Heading8"/>
    <w:next w:val="Normal"/>
    <w:link w:val="Heading9Char"/>
    <w:qFormat/>
    <w:rsid w:val="00CC7601"/>
    <w:pPr>
      <w:numPr>
        <w:ilvl w:val="8"/>
      </w:numPr>
      <w:outlineLvl w:val="8"/>
    </w:pPr>
  </w:style>
  <w:style w:type="character" w:default="1" w:styleId="DefaultParagraphFont">
    <w:name w:val="Default Paragraph Font"/>
    <w:uiPriority w:val="1"/>
    <w:semiHidden/>
    <w:unhideWhenUsed/>
    <w:rsid w:val="007E64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64BA"/>
  </w:style>
  <w:style w:type="paragraph" w:styleId="TOC8">
    <w:name w:val="toc 8"/>
    <w:basedOn w:val="TOC1"/>
    <w:uiPriority w:val="39"/>
    <w:rsid w:val="00CC7601"/>
    <w:pPr>
      <w:spacing w:before="180"/>
      <w:ind w:left="2693" w:hanging="2693"/>
    </w:pPr>
    <w:rPr>
      <w:b/>
    </w:rPr>
  </w:style>
  <w:style w:type="paragraph" w:styleId="TOC1">
    <w:name w:val="toc 1"/>
    <w:uiPriority w:val="39"/>
    <w:rsid w:val="00CC76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C7601"/>
    <w:pPr>
      <w:keepNext/>
      <w:keepLines/>
      <w:spacing w:before="180"/>
      <w:jc w:val="center"/>
    </w:pPr>
  </w:style>
  <w:style w:type="paragraph" w:styleId="Caption">
    <w:name w:val="caption"/>
    <w:basedOn w:val="Normal"/>
    <w:next w:val="Normal"/>
    <w:qFormat/>
    <w:rsid w:val="00CC7601"/>
    <w:pPr>
      <w:spacing w:before="120"/>
    </w:pPr>
    <w:rPr>
      <w:b/>
      <w:lang w:eastAsia="en-GB"/>
    </w:rPr>
  </w:style>
  <w:style w:type="paragraph" w:styleId="TOC5">
    <w:name w:val="toc 5"/>
    <w:basedOn w:val="TOC4"/>
    <w:uiPriority w:val="39"/>
    <w:rsid w:val="00CC7601"/>
    <w:pPr>
      <w:ind w:left="1701" w:hanging="1701"/>
    </w:pPr>
  </w:style>
  <w:style w:type="paragraph" w:styleId="TOC4">
    <w:name w:val="toc 4"/>
    <w:basedOn w:val="TOC3"/>
    <w:uiPriority w:val="39"/>
    <w:rsid w:val="00CC7601"/>
    <w:pPr>
      <w:ind w:left="1418" w:hanging="1418"/>
    </w:pPr>
  </w:style>
  <w:style w:type="paragraph" w:styleId="TOC3">
    <w:name w:val="toc 3"/>
    <w:basedOn w:val="TOC2"/>
    <w:uiPriority w:val="39"/>
    <w:rsid w:val="00CC7601"/>
    <w:pPr>
      <w:ind w:left="1134" w:hanging="1134"/>
    </w:pPr>
  </w:style>
  <w:style w:type="paragraph" w:styleId="TOC2">
    <w:name w:val="toc 2"/>
    <w:basedOn w:val="TOC1"/>
    <w:uiPriority w:val="39"/>
    <w:rsid w:val="00CC7601"/>
    <w:pPr>
      <w:keepNext w:val="0"/>
      <w:spacing w:before="0"/>
      <w:ind w:left="851" w:hanging="851"/>
    </w:pPr>
    <w:rPr>
      <w:sz w:val="20"/>
    </w:rPr>
  </w:style>
  <w:style w:type="paragraph" w:styleId="Index2">
    <w:name w:val="index 2"/>
    <w:basedOn w:val="Index1"/>
    <w:rsid w:val="00CC7601"/>
    <w:pPr>
      <w:ind w:left="284"/>
    </w:pPr>
  </w:style>
  <w:style w:type="paragraph" w:styleId="Index1">
    <w:name w:val="index 1"/>
    <w:basedOn w:val="Normal"/>
    <w:rsid w:val="00CC7601"/>
    <w:pPr>
      <w:keepLines/>
    </w:pPr>
  </w:style>
  <w:style w:type="paragraph" w:styleId="DocumentMap">
    <w:name w:val="Document Map"/>
    <w:basedOn w:val="Normal"/>
    <w:link w:val="DocumentMapChar"/>
    <w:rsid w:val="00CC7601"/>
    <w:pPr>
      <w:shd w:val="clear" w:color="auto" w:fill="000080"/>
    </w:pPr>
    <w:rPr>
      <w:rFonts w:ascii="Tahoma" w:hAnsi="Tahoma" w:cs="Tahoma"/>
    </w:rPr>
  </w:style>
  <w:style w:type="paragraph" w:styleId="ListNumber2">
    <w:name w:val="List Number 2"/>
    <w:basedOn w:val="ListNumber"/>
    <w:rsid w:val="00CC7601"/>
    <w:pPr>
      <w:numPr>
        <w:numId w:val="22"/>
      </w:numPr>
    </w:pPr>
  </w:style>
  <w:style w:type="paragraph" w:styleId="ListNumber">
    <w:name w:val="List Number"/>
    <w:basedOn w:val="List"/>
    <w:rsid w:val="00CC7601"/>
    <w:pPr>
      <w:numPr>
        <w:numId w:val="21"/>
      </w:numPr>
    </w:pPr>
    <w:rPr>
      <w:lang w:eastAsia="ja-JP"/>
    </w:rPr>
  </w:style>
  <w:style w:type="paragraph" w:styleId="List">
    <w:name w:val="List"/>
    <w:basedOn w:val="BodyText"/>
    <w:rsid w:val="00CC7601"/>
    <w:pPr>
      <w:ind w:left="568" w:hanging="284"/>
    </w:pPr>
  </w:style>
  <w:style w:type="paragraph" w:styleId="Header">
    <w:name w:val="header"/>
    <w:link w:val="HeaderChar"/>
    <w:rsid w:val="00CC760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C7601"/>
    <w:rPr>
      <w:b/>
      <w:position w:val="6"/>
      <w:sz w:val="16"/>
    </w:rPr>
  </w:style>
  <w:style w:type="paragraph" w:styleId="FootnoteText">
    <w:name w:val="footnote text"/>
    <w:basedOn w:val="Normal"/>
    <w:link w:val="FootnoteTextChar"/>
    <w:rsid w:val="00CC7601"/>
    <w:pPr>
      <w:keepLines/>
      <w:ind w:left="454" w:hanging="454"/>
    </w:pPr>
    <w:rPr>
      <w:sz w:val="16"/>
    </w:rPr>
  </w:style>
  <w:style w:type="paragraph" w:customStyle="1" w:styleId="3GPPHeader">
    <w:name w:val="3GPP_Header"/>
    <w:basedOn w:val="BodyText"/>
    <w:rsid w:val="00CC7601"/>
    <w:pPr>
      <w:tabs>
        <w:tab w:val="left" w:pos="1701"/>
        <w:tab w:val="right" w:pos="9639"/>
      </w:tabs>
      <w:spacing w:after="240"/>
    </w:pPr>
    <w:rPr>
      <w:b/>
    </w:rPr>
  </w:style>
  <w:style w:type="paragraph" w:styleId="TOC9">
    <w:name w:val="toc 9"/>
    <w:basedOn w:val="TOC8"/>
    <w:uiPriority w:val="39"/>
    <w:rsid w:val="00CC7601"/>
    <w:pPr>
      <w:ind w:left="1418" w:hanging="1418"/>
    </w:pPr>
  </w:style>
  <w:style w:type="paragraph" w:styleId="TOC6">
    <w:name w:val="toc 6"/>
    <w:basedOn w:val="TOC5"/>
    <w:next w:val="Normal"/>
    <w:uiPriority w:val="39"/>
    <w:rsid w:val="00CC7601"/>
    <w:pPr>
      <w:ind w:left="1985" w:hanging="1985"/>
    </w:pPr>
  </w:style>
  <w:style w:type="paragraph" w:styleId="TOC7">
    <w:name w:val="toc 7"/>
    <w:basedOn w:val="TOC6"/>
    <w:next w:val="Normal"/>
    <w:uiPriority w:val="39"/>
    <w:rsid w:val="00CC7601"/>
    <w:pPr>
      <w:ind w:left="2268" w:hanging="2268"/>
    </w:pPr>
  </w:style>
  <w:style w:type="paragraph" w:styleId="ListBullet2">
    <w:name w:val="List Bullet 2"/>
    <w:basedOn w:val="ListBullet"/>
    <w:rsid w:val="00CC7601"/>
    <w:pPr>
      <w:numPr>
        <w:numId w:val="17"/>
      </w:numPr>
    </w:pPr>
  </w:style>
  <w:style w:type="paragraph" w:styleId="ListBullet">
    <w:name w:val="List Bullet"/>
    <w:basedOn w:val="List"/>
    <w:rsid w:val="00CC7601"/>
    <w:pPr>
      <w:numPr>
        <w:numId w:val="16"/>
      </w:numPr>
    </w:pPr>
    <w:rPr>
      <w:lang w:eastAsia="ja-JP"/>
    </w:rPr>
  </w:style>
  <w:style w:type="paragraph" w:styleId="ListBullet3">
    <w:name w:val="List Bullet 3"/>
    <w:basedOn w:val="ListBullet2"/>
    <w:rsid w:val="00CC7601"/>
    <w:pPr>
      <w:numPr>
        <w:numId w:val="18"/>
      </w:numPr>
    </w:pPr>
  </w:style>
  <w:style w:type="paragraph" w:customStyle="1" w:styleId="EQ">
    <w:name w:val="EQ"/>
    <w:basedOn w:val="Normal"/>
    <w:next w:val="Normal"/>
    <w:rsid w:val="00CC7601"/>
    <w:pPr>
      <w:keepLines/>
      <w:tabs>
        <w:tab w:val="center" w:pos="4536"/>
        <w:tab w:val="right" w:pos="9072"/>
      </w:tabs>
    </w:pPr>
    <w:rPr>
      <w:noProof/>
    </w:rPr>
  </w:style>
  <w:style w:type="paragraph" w:styleId="List2">
    <w:name w:val="List 2"/>
    <w:basedOn w:val="List"/>
    <w:rsid w:val="00CC7601"/>
    <w:pPr>
      <w:ind w:left="851"/>
    </w:pPr>
    <w:rPr>
      <w:lang w:eastAsia="ja-JP"/>
    </w:rPr>
  </w:style>
  <w:style w:type="paragraph" w:styleId="List3">
    <w:name w:val="List 3"/>
    <w:basedOn w:val="List2"/>
    <w:rsid w:val="00CC7601"/>
    <w:pPr>
      <w:ind w:left="1135"/>
    </w:pPr>
  </w:style>
  <w:style w:type="paragraph" w:styleId="List4">
    <w:name w:val="List 4"/>
    <w:basedOn w:val="List3"/>
    <w:rsid w:val="00CC7601"/>
    <w:pPr>
      <w:ind w:left="1418"/>
    </w:pPr>
  </w:style>
  <w:style w:type="paragraph" w:styleId="List5">
    <w:name w:val="List 5"/>
    <w:basedOn w:val="List4"/>
    <w:rsid w:val="00CC7601"/>
    <w:pPr>
      <w:ind w:left="1702"/>
    </w:pPr>
  </w:style>
  <w:style w:type="paragraph" w:customStyle="1" w:styleId="EditorsNote">
    <w:name w:val="Editor's Note"/>
    <w:basedOn w:val="NO"/>
    <w:link w:val="EditorsNoteChar"/>
    <w:rsid w:val="00CC7601"/>
    <w:rPr>
      <w:color w:val="FF0000"/>
      <w:lang w:val="x-none" w:eastAsia="x-none"/>
    </w:rPr>
  </w:style>
  <w:style w:type="paragraph" w:styleId="ListBullet4">
    <w:name w:val="List Bullet 4"/>
    <w:basedOn w:val="ListBullet3"/>
    <w:rsid w:val="00CC7601"/>
    <w:pPr>
      <w:numPr>
        <w:numId w:val="19"/>
      </w:numPr>
    </w:pPr>
  </w:style>
  <w:style w:type="paragraph" w:styleId="ListBullet5">
    <w:name w:val="List Bullet 5"/>
    <w:basedOn w:val="ListBullet4"/>
    <w:rsid w:val="00CC7601"/>
    <w:pPr>
      <w:numPr>
        <w:numId w:val="20"/>
      </w:numPr>
    </w:pPr>
  </w:style>
  <w:style w:type="paragraph" w:styleId="Footer">
    <w:name w:val="footer"/>
    <w:basedOn w:val="Header"/>
    <w:link w:val="FooterChar"/>
    <w:rsid w:val="00CC7601"/>
    <w:pPr>
      <w:jc w:val="center"/>
    </w:pPr>
    <w:rPr>
      <w:i/>
    </w:rPr>
  </w:style>
  <w:style w:type="paragraph" w:customStyle="1" w:styleId="Reference">
    <w:name w:val="Reference"/>
    <w:basedOn w:val="BodyText"/>
    <w:link w:val="ReferenceChar"/>
    <w:qFormat/>
    <w:rsid w:val="00CC7601"/>
    <w:pPr>
      <w:numPr>
        <w:numId w:val="2"/>
      </w:numPr>
    </w:pPr>
  </w:style>
  <w:style w:type="paragraph" w:styleId="BalloonText">
    <w:name w:val="Balloon Text"/>
    <w:basedOn w:val="Normal"/>
    <w:link w:val="BalloonTextChar"/>
    <w:rsid w:val="00CC7601"/>
    <w:rPr>
      <w:rFonts w:ascii="Segoe UI" w:hAnsi="Segoe UI" w:cs="Segoe UI"/>
      <w:sz w:val="18"/>
      <w:szCs w:val="18"/>
    </w:rPr>
  </w:style>
  <w:style w:type="character" w:styleId="PageNumber">
    <w:name w:val="page number"/>
    <w:basedOn w:val="DefaultParagraphFont"/>
    <w:rsid w:val="00CC7601"/>
  </w:style>
  <w:style w:type="paragraph" w:styleId="BodyText">
    <w:name w:val="Body Text"/>
    <w:basedOn w:val="Normal"/>
    <w:link w:val="BodyTextChar"/>
    <w:qFormat/>
    <w:rsid w:val="00CC7601"/>
  </w:style>
  <w:style w:type="character" w:styleId="Hyperlink">
    <w:name w:val="Hyperlink"/>
    <w:uiPriority w:val="99"/>
    <w:rsid w:val="00CC7601"/>
    <w:rPr>
      <w:color w:val="0000FF"/>
      <w:u w:val="single"/>
    </w:rPr>
  </w:style>
  <w:style w:type="character" w:styleId="FollowedHyperlink">
    <w:name w:val="FollowedHyperlink"/>
    <w:unhideWhenUsed/>
    <w:rsid w:val="00CC7601"/>
    <w:rPr>
      <w:color w:val="800080"/>
      <w:u w:val="single"/>
    </w:rPr>
  </w:style>
  <w:style w:type="character" w:styleId="CommentReference">
    <w:name w:val="annotation reference"/>
    <w:uiPriority w:val="99"/>
    <w:qFormat/>
    <w:rsid w:val="00CC7601"/>
    <w:rPr>
      <w:sz w:val="16"/>
      <w:szCs w:val="16"/>
    </w:rPr>
  </w:style>
  <w:style w:type="paragraph" w:styleId="CommentText">
    <w:name w:val="annotation text"/>
    <w:basedOn w:val="Normal"/>
    <w:link w:val="CommentTextChar"/>
    <w:uiPriority w:val="99"/>
    <w:qFormat/>
    <w:rsid w:val="00CC7601"/>
  </w:style>
  <w:style w:type="paragraph" w:styleId="CommentSubject">
    <w:name w:val="annotation subject"/>
    <w:basedOn w:val="CommentText"/>
    <w:next w:val="CommentText"/>
    <w:link w:val="CommentSubjectChar"/>
    <w:rsid w:val="00CC7601"/>
    <w:rPr>
      <w:b/>
      <w:bCs/>
    </w:rPr>
  </w:style>
  <w:style w:type="character" w:customStyle="1" w:styleId="Heading1Char">
    <w:name w:val="Heading 1 Char"/>
    <w:link w:val="Heading1"/>
    <w:rsid w:val="00CC7601"/>
    <w:rPr>
      <w:rFonts w:ascii="Arial" w:hAnsi="Arial"/>
      <w:sz w:val="36"/>
      <w:lang w:eastAsia="ja-JP"/>
    </w:rPr>
  </w:style>
  <w:style w:type="paragraph" w:customStyle="1" w:styleId="B1">
    <w:name w:val="B1"/>
    <w:basedOn w:val="List"/>
    <w:link w:val="B1Char1"/>
    <w:rsid w:val="00CC7601"/>
    <w:rPr>
      <w:rFonts w:ascii="Times New Roman" w:hAnsi="Times New Roman"/>
    </w:rPr>
  </w:style>
  <w:style w:type="paragraph" w:customStyle="1" w:styleId="B2">
    <w:name w:val="B2"/>
    <w:basedOn w:val="List2"/>
    <w:link w:val="B2Char"/>
    <w:rsid w:val="00CC7601"/>
    <w:rPr>
      <w:rFonts w:ascii="Times New Roman" w:hAnsi="Times New Roman"/>
    </w:rPr>
  </w:style>
  <w:style w:type="paragraph" w:customStyle="1" w:styleId="B3">
    <w:name w:val="B3"/>
    <w:basedOn w:val="List3"/>
    <w:link w:val="B3Char2"/>
    <w:rsid w:val="00CC7601"/>
    <w:rPr>
      <w:rFonts w:ascii="Times New Roman" w:hAnsi="Times New Roman"/>
    </w:rPr>
  </w:style>
  <w:style w:type="paragraph" w:customStyle="1" w:styleId="B4">
    <w:name w:val="B4"/>
    <w:basedOn w:val="List4"/>
    <w:link w:val="B4Char"/>
    <w:rsid w:val="00CC7601"/>
    <w:rPr>
      <w:rFonts w:ascii="Times New Roman" w:hAnsi="Times New Roman"/>
    </w:rPr>
  </w:style>
  <w:style w:type="paragraph" w:customStyle="1" w:styleId="Proposal">
    <w:name w:val="Proposal"/>
    <w:basedOn w:val="BodyText"/>
    <w:qFormat/>
    <w:rsid w:val="00CC7601"/>
    <w:pPr>
      <w:numPr>
        <w:numId w:val="3"/>
      </w:numPr>
      <w:tabs>
        <w:tab w:val="clear" w:pos="1304"/>
        <w:tab w:val="left" w:pos="1701"/>
      </w:tabs>
      <w:ind w:left="1701" w:hanging="1701"/>
    </w:pPr>
    <w:rPr>
      <w:b/>
      <w:bCs/>
    </w:rPr>
  </w:style>
  <w:style w:type="character" w:customStyle="1" w:styleId="BodyTextChar">
    <w:name w:val="Body Text Char"/>
    <w:link w:val="BodyText"/>
    <w:rsid w:val="00CC7601"/>
    <w:rPr>
      <w:rFonts w:ascii="Arial" w:hAnsi="Arial"/>
      <w:lang w:val="en-US" w:eastAsia="zh-CN"/>
    </w:rPr>
  </w:style>
  <w:style w:type="paragraph" w:customStyle="1" w:styleId="B5">
    <w:name w:val="B5"/>
    <w:basedOn w:val="List5"/>
    <w:link w:val="B5Char"/>
    <w:rsid w:val="00CC7601"/>
    <w:rPr>
      <w:rFonts w:ascii="Times New Roman" w:hAnsi="Times New Roman"/>
    </w:rPr>
  </w:style>
  <w:style w:type="paragraph" w:customStyle="1" w:styleId="EX">
    <w:name w:val="EX"/>
    <w:basedOn w:val="Normal"/>
    <w:rsid w:val="00CC7601"/>
    <w:pPr>
      <w:keepLines/>
      <w:ind w:left="1702" w:hanging="1418"/>
    </w:pPr>
  </w:style>
  <w:style w:type="paragraph" w:customStyle="1" w:styleId="EW">
    <w:name w:val="EW"/>
    <w:basedOn w:val="EX"/>
    <w:rsid w:val="00CC7601"/>
  </w:style>
  <w:style w:type="paragraph" w:customStyle="1" w:styleId="TAL">
    <w:name w:val="TAL"/>
    <w:basedOn w:val="Normal"/>
    <w:link w:val="TALCar"/>
    <w:rsid w:val="00CC7601"/>
    <w:pPr>
      <w:keepNext/>
      <w:keepLines/>
    </w:pPr>
    <w:rPr>
      <w:sz w:val="18"/>
      <w:lang w:val="x-none" w:eastAsia="x-none"/>
    </w:rPr>
  </w:style>
  <w:style w:type="paragraph" w:customStyle="1" w:styleId="TAC">
    <w:name w:val="TAC"/>
    <w:basedOn w:val="TAL"/>
    <w:rsid w:val="00CC7601"/>
    <w:pPr>
      <w:jc w:val="center"/>
    </w:pPr>
  </w:style>
  <w:style w:type="paragraph" w:customStyle="1" w:styleId="TAH">
    <w:name w:val="TAH"/>
    <w:basedOn w:val="TAC"/>
    <w:link w:val="TAHCar"/>
    <w:rsid w:val="00CC7601"/>
    <w:rPr>
      <w:b/>
    </w:rPr>
  </w:style>
  <w:style w:type="paragraph" w:customStyle="1" w:styleId="TAN">
    <w:name w:val="TAN"/>
    <w:basedOn w:val="TAL"/>
    <w:rsid w:val="00CC7601"/>
    <w:pPr>
      <w:ind w:left="851" w:hanging="851"/>
    </w:pPr>
  </w:style>
  <w:style w:type="paragraph" w:customStyle="1" w:styleId="TAR">
    <w:name w:val="TAR"/>
    <w:basedOn w:val="TAL"/>
    <w:rsid w:val="00CC7601"/>
    <w:pPr>
      <w:jc w:val="right"/>
    </w:pPr>
  </w:style>
  <w:style w:type="paragraph" w:customStyle="1" w:styleId="TH">
    <w:name w:val="TH"/>
    <w:basedOn w:val="Normal"/>
    <w:link w:val="THChar"/>
    <w:rsid w:val="00CC7601"/>
    <w:pPr>
      <w:keepNext/>
      <w:keepLines/>
      <w:spacing w:before="60"/>
      <w:jc w:val="center"/>
    </w:pPr>
    <w:rPr>
      <w:b/>
      <w:lang w:val="x-none" w:eastAsia="x-none"/>
    </w:rPr>
  </w:style>
  <w:style w:type="paragraph" w:customStyle="1" w:styleId="TF">
    <w:name w:val="TF"/>
    <w:basedOn w:val="TH"/>
    <w:link w:val="TFChar"/>
    <w:rsid w:val="00CC7601"/>
    <w:pPr>
      <w:keepNext w:val="0"/>
      <w:spacing w:before="0" w:after="240"/>
    </w:pPr>
  </w:style>
  <w:style w:type="paragraph" w:customStyle="1" w:styleId="TT">
    <w:name w:val="TT"/>
    <w:basedOn w:val="Heading1"/>
    <w:next w:val="Normal"/>
    <w:rsid w:val="00CC7601"/>
    <w:pPr>
      <w:numPr>
        <w:numId w:val="0"/>
      </w:numPr>
      <w:ind w:left="1134" w:hanging="1134"/>
      <w:outlineLvl w:val="9"/>
    </w:pPr>
  </w:style>
  <w:style w:type="paragraph" w:customStyle="1" w:styleId="ZA">
    <w:name w:val="ZA"/>
    <w:rsid w:val="00CC76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C76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C760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C76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C7601"/>
  </w:style>
  <w:style w:type="paragraph" w:customStyle="1" w:styleId="ZH">
    <w:name w:val="ZH"/>
    <w:rsid w:val="00CC760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C76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C7601"/>
    <w:pPr>
      <w:framePr w:hRule="auto" w:wrap="notBeside" w:y="852"/>
    </w:pPr>
    <w:rPr>
      <w:i w:val="0"/>
      <w:sz w:val="40"/>
    </w:rPr>
  </w:style>
  <w:style w:type="paragraph" w:customStyle="1" w:styleId="ZU">
    <w:name w:val="ZU"/>
    <w:rsid w:val="00CC76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C7601"/>
    <w:pPr>
      <w:framePr w:wrap="notBeside" w:y="16161"/>
    </w:pPr>
  </w:style>
  <w:style w:type="paragraph" w:customStyle="1" w:styleId="FP">
    <w:name w:val="FP"/>
    <w:basedOn w:val="Normal"/>
    <w:rsid w:val="00CC7601"/>
  </w:style>
  <w:style w:type="paragraph" w:customStyle="1" w:styleId="Observation">
    <w:name w:val="Observation"/>
    <w:basedOn w:val="Proposal"/>
    <w:qFormat/>
    <w:rsid w:val="00CC7601"/>
    <w:pPr>
      <w:numPr>
        <w:numId w:val="13"/>
      </w:numPr>
    </w:pPr>
    <w:rPr>
      <w:lang w:eastAsia="ja-JP"/>
    </w:rPr>
  </w:style>
  <w:style w:type="paragraph" w:styleId="TableofFigures">
    <w:name w:val="table of figures"/>
    <w:basedOn w:val="BodyText"/>
    <w:next w:val="Normal"/>
    <w:uiPriority w:val="99"/>
    <w:rsid w:val="00CC7601"/>
    <w:pPr>
      <w:ind w:left="1701" w:hanging="1701"/>
    </w:pPr>
    <w:rPr>
      <w:b/>
    </w:rPr>
  </w:style>
  <w:style w:type="character" w:customStyle="1" w:styleId="B1Char1">
    <w:name w:val="B1 Char1"/>
    <w:link w:val="B1"/>
    <w:qFormat/>
    <w:rsid w:val="00CC7601"/>
    <w:rPr>
      <w:rFonts w:ascii="Times New Roman" w:hAnsi="Times New Roman"/>
      <w:lang w:val="en-US" w:eastAsia="zh-CN"/>
    </w:rPr>
  </w:style>
  <w:style w:type="character" w:customStyle="1" w:styleId="B2Char">
    <w:name w:val="B2 Char"/>
    <w:link w:val="B2"/>
    <w:qFormat/>
    <w:rsid w:val="00CC7601"/>
    <w:rPr>
      <w:rFonts w:ascii="Times New Roman" w:hAnsi="Times New Roman"/>
      <w:lang w:val="en-US" w:eastAsia="ja-JP"/>
    </w:rPr>
  </w:style>
  <w:style w:type="character" w:customStyle="1" w:styleId="B3Char2">
    <w:name w:val="B3 Char2"/>
    <w:link w:val="B3"/>
    <w:qFormat/>
    <w:rsid w:val="00CC7601"/>
    <w:rPr>
      <w:rFonts w:ascii="Times New Roman" w:hAnsi="Times New Roman"/>
      <w:lang w:val="en-US" w:eastAsia="ja-JP"/>
    </w:rPr>
  </w:style>
  <w:style w:type="character" w:customStyle="1" w:styleId="B4Char">
    <w:name w:val="B4 Char"/>
    <w:link w:val="B4"/>
    <w:rsid w:val="00CC7601"/>
    <w:rPr>
      <w:rFonts w:ascii="Times New Roman" w:hAnsi="Times New Roman"/>
      <w:lang w:val="en-US" w:eastAsia="ja-JP"/>
    </w:rPr>
  </w:style>
  <w:style w:type="character" w:customStyle="1" w:styleId="B5Char">
    <w:name w:val="B5 Char"/>
    <w:link w:val="B5"/>
    <w:rsid w:val="00CC7601"/>
    <w:rPr>
      <w:rFonts w:ascii="Times New Roman" w:hAnsi="Times New Roman"/>
      <w:lang w:val="en-US" w:eastAsia="ja-JP"/>
    </w:rPr>
  </w:style>
  <w:style w:type="paragraph" w:customStyle="1" w:styleId="B6">
    <w:name w:val="B6"/>
    <w:basedOn w:val="B5"/>
    <w:link w:val="B6Char"/>
    <w:rsid w:val="00CC7601"/>
    <w:pPr>
      <w:ind w:left="1985"/>
    </w:pPr>
  </w:style>
  <w:style w:type="character" w:customStyle="1" w:styleId="B6Char">
    <w:name w:val="B6 Char"/>
    <w:link w:val="B6"/>
    <w:rsid w:val="00CC7601"/>
    <w:rPr>
      <w:rFonts w:ascii="Times New Roman" w:hAnsi="Times New Roman"/>
      <w:lang w:val="en-US" w:eastAsia="ja-JP"/>
    </w:rPr>
  </w:style>
  <w:style w:type="paragraph" w:customStyle="1" w:styleId="B7">
    <w:name w:val="B7"/>
    <w:basedOn w:val="B6"/>
    <w:link w:val="B7Char"/>
    <w:rsid w:val="00CC7601"/>
    <w:pPr>
      <w:ind w:left="2269"/>
    </w:pPr>
  </w:style>
  <w:style w:type="character" w:customStyle="1" w:styleId="B7Char">
    <w:name w:val="B7 Char"/>
    <w:basedOn w:val="B6Char"/>
    <w:link w:val="B7"/>
    <w:rsid w:val="00CC7601"/>
    <w:rPr>
      <w:rFonts w:ascii="Times New Roman" w:hAnsi="Times New Roman"/>
      <w:lang w:val="en-US" w:eastAsia="ja-JP"/>
    </w:rPr>
  </w:style>
  <w:style w:type="paragraph" w:customStyle="1" w:styleId="B8">
    <w:name w:val="B8"/>
    <w:basedOn w:val="B7"/>
    <w:qFormat/>
    <w:rsid w:val="00CC7601"/>
    <w:pPr>
      <w:ind w:left="2552"/>
    </w:pPr>
  </w:style>
  <w:style w:type="character" w:customStyle="1" w:styleId="BalloonTextChar">
    <w:name w:val="Balloon Text Char"/>
    <w:link w:val="BalloonText"/>
    <w:rsid w:val="00CC7601"/>
    <w:rPr>
      <w:rFonts w:ascii="Segoe UI" w:eastAsiaTheme="minorHAnsi" w:hAnsi="Segoe UI" w:cs="Segoe UI"/>
      <w:sz w:val="18"/>
      <w:szCs w:val="18"/>
      <w:lang w:eastAsia="en-US"/>
    </w:rPr>
  </w:style>
  <w:style w:type="character" w:customStyle="1" w:styleId="CommentTextChar">
    <w:name w:val="Comment Text Char"/>
    <w:link w:val="CommentText"/>
    <w:uiPriority w:val="99"/>
    <w:qFormat/>
    <w:rsid w:val="00CC7601"/>
    <w:rPr>
      <w:rFonts w:ascii="Arial" w:hAnsi="Arial"/>
      <w:lang w:val="en-US" w:eastAsia="zh-CN"/>
    </w:rPr>
  </w:style>
  <w:style w:type="character" w:customStyle="1" w:styleId="CommentSubjectChar">
    <w:name w:val="Comment Subject Char"/>
    <w:link w:val="CommentSubject"/>
    <w:rsid w:val="00CC7601"/>
    <w:rPr>
      <w:rFonts w:ascii="Arial" w:hAnsi="Arial"/>
      <w:b/>
      <w:bCs/>
      <w:lang w:val="en-US" w:eastAsia="zh-CN"/>
    </w:rPr>
  </w:style>
  <w:style w:type="paragraph" w:customStyle="1" w:styleId="CRCoverPage">
    <w:name w:val="CR Cover Page"/>
    <w:link w:val="CRCoverPageZchn"/>
    <w:rsid w:val="00CC7601"/>
    <w:pPr>
      <w:spacing w:after="120"/>
    </w:pPr>
    <w:rPr>
      <w:rFonts w:ascii="Arial" w:hAnsi="Arial"/>
      <w:lang w:eastAsia="ko-KR"/>
    </w:rPr>
  </w:style>
  <w:style w:type="character" w:customStyle="1" w:styleId="CRCoverPageZchn">
    <w:name w:val="CR Cover Page Zchn"/>
    <w:link w:val="CRCoverPage"/>
    <w:rsid w:val="00CC7601"/>
    <w:rPr>
      <w:rFonts w:ascii="Arial" w:hAnsi="Arial"/>
      <w:lang w:eastAsia="ko-KR"/>
    </w:rPr>
  </w:style>
  <w:style w:type="paragraph" w:customStyle="1" w:styleId="Doc-text2">
    <w:name w:val="Doc-text2"/>
    <w:basedOn w:val="Normal"/>
    <w:link w:val="Doc-text2Char"/>
    <w:qFormat/>
    <w:rsid w:val="00CC7601"/>
    <w:pPr>
      <w:tabs>
        <w:tab w:val="left" w:pos="1622"/>
      </w:tabs>
      <w:ind w:left="1622" w:hanging="363"/>
    </w:pPr>
    <w:rPr>
      <w:rFonts w:eastAsia="MS Mincho"/>
      <w:lang w:val="x-none" w:eastAsia="x-none"/>
    </w:rPr>
  </w:style>
  <w:style w:type="character" w:customStyle="1" w:styleId="Doc-text2Char">
    <w:name w:val="Doc-text2 Char"/>
    <w:link w:val="Doc-text2"/>
    <w:locked/>
    <w:rsid w:val="00CC7601"/>
    <w:rPr>
      <w:rFonts w:asciiTheme="minorHAnsi" w:eastAsia="MS Mincho" w:hAnsiTheme="minorHAnsi" w:cstheme="minorBidi"/>
      <w:sz w:val="24"/>
      <w:szCs w:val="24"/>
      <w:lang w:val="x-none" w:eastAsia="x-none"/>
    </w:rPr>
  </w:style>
  <w:style w:type="character" w:customStyle="1" w:styleId="DocumentMapChar">
    <w:name w:val="Document Map Char"/>
    <w:link w:val="DocumentMap"/>
    <w:rsid w:val="00CC7601"/>
    <w:rPr>
      <w:rFonts w:ascii="Tahoma" w:hAnsi="Tahoma" w:cs="Tahoma"/>
      <w:shd w:val="clear" w:color="auto" w:fill="000080"/>
      <w:lang w:val="en-US" w:eastAsia="zh-CN"/>
    </w:rPr>
  </w:style>
  <w:style w:type="paragraph" w:customStyle="1" w:styleId="NO">
    <w:name w:val="NO"/>
    <w:basedOn w:val="Normal"/>
    <w:link w:val="NOChar"/>
    <w:rsid w:val="00CC7601"/>
    <w:pPr>
      <w:keepLines/>
      <w:ind w:left="1135" w:hanging="851"/>
    </w:pPr>
  </w:style>
  <w:style w:type="character" w:customStyle="1" w:styleId="NOChar">
    <w:name w:val="NO Char"/>
    <w:link w:val="NO"/>
    <w:qFormat/>
    <w:rsid w:val="00CC7601"/>
    <w:rPr>
      <w:rFonts w:ascii="Arial" w:hAnsi="Arial"/>
      <w:lang w:val="en-US" w:eastAsia="zh-CN"/>
    </w:rPr>
  </w:style>
  <w:style w:type="character" w:customStyle="1" w:styleId="EditorsNoteChar">
    <w:name w:val="Editor's Note Char"/>
    <w:link w:val="EditorsNote"/>
    <w:rsid w:val="00CC7601"/>
    <w:rPr>
      <w:rFonts w:ascii="Arial" w:hAnsi="Arial"/>
      <w:color w:val="FF0000"/>
      <w:lang w:val="x-none" w:eastAsia="x-none"/>
    </w:rPr>
  </w:style>
  <w:style w:type="paragraph" w:customStyle="1" w:styleId="EmailDiscussion">
    <w:name w:val="EmailDiscussion"/>
    <w:basedOn w:val="Normal"/>
    <w:next w:val="Normal"/>
    <w:rsid w:val="00CC7601"/>
    <w:pPr>
      <w:numPr>
        <w:numId w:val="14"/>
      </w:numPr>
      <w:spacing w:before="40"/>
    </w:pPr>
    <w:rPr>
      <w:rFonts w:eastAsia="MS Mincho"/>
      <w:b/>
      <w:lang w:eastAsia="en-GB"/>
    </w:rPr>
  </w:style>
  <w:style w:type="character" w:styleId="Emphasis">
    <w:name w:val="Emphasis"/>
    <w:qFormat/>
    <w:rsid w:val="00CC7601"/>
    <w:rPr>
      <w:i/>
      <w:iCs/>
    </w:rPr>
  </w:style>
  <w:style w:type="paragraph" w:customStyle="1" w:styleId="FigureTitle">
    <w:name w:val="Figure_Title"/>
    <w:basedOn w:val="Normal"/>
    <w:next w:val="Normal"/>
    <w:rsid w:val="00CC7601"/>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CC7601"/>
    <w:rPr>
      <w:rFonts w:ascii="Arial" w:hAnsi="Arial"/>
      <w:b/>
      <w:noProof/>
      <w:sz w:val="18"/>
      <w:lang w:eastAsia="ja-JP"/>
    </w:rPr>
  </w:style>
  <w:style w:type="character" w:customStyle="1" w:styleId="FooterChar">
    <w:name w:val="Footer Char"/>
    <w:link w:val="Footer"/>
    <w:rsid w:val="00CC7601"/>
    <w:rPr>
      <w:rFonts w:ascii="Arial" w:hAnsi="Arial"/>
      <w:b/>
      <w:i/>
      <w:noProof/>
      <w:sz w:val="18"/>
      <w:lang w:eastAsia="ja-JP"/>
    </w:rPr>
  </w:style>
  <w:style w:type="character" w:customStyle="1" w:styleId="FootnoteTextChar">
    <w:name w:val="Footnote Text Char"/>
    <w:link w:val="FootnoteText"/>
    <w:rsid w:val="00CC7601"/>
    <w:rPr>
      <w:rFonts w:asciiTheme="minorHAnsi" w:eastAsiaTheme="minorHAnsi" w:hAnsiTheme="minorHAnsi" w:cstheme="minorBidi"/>
      <w:sz w:val="16"/>
      <w:szCs w:val="24"/>
      <w:lang w:eastAsia="en-US"/>
    </w:rPr>
  </w:style>
  <w:style w:type="paragraph" w:customStyle="1" w:styleId="Guidance">
    <w:name w:val="Guidance"/>
    <w:basedOn w:val="Normal"/>
    <w:rsid w:val="00CC7601"/>
    <w:rPr>
      <w:i/>
      <w:color w:val="0000FF"/>
    </w:rPr>
  </w:style>
  <w:style w:type="character" w:customStyle="1" w:styleId="Heading2Char">
    <w:name w:val="Heading 2 Char"/>
    <w:link w:val="Heading2"/>
    <w:rsid w:val="00CC7601"/>
    <w:rPr>
      <w:rFonts w:ascii="Arial" w:hAnsi="Arial"/>
      <w:sz w:val="32"/>
      <w:lang w:eastAsia="ja-JP"/>
    </w:rPr>
  </w:style>
  <w:style w:type="character" w:customStyle="1" w:styleId="Heading3Char">
    <w:name w:val="Heading 3 Char"/>
    <w:link w:val="Heading3"/>
    <w:rsid w:val="00CC7601"/>
    <w:rPr>
      <w:rFonts w:ascii="Arial" w:hAnsi="Arial"/>
      <w:sz w:val="28"/>
      <w:lang w:eastAsia="ja-JP"/>
    </w:rPr>
  </w:style>
  <w:style w:type="character" w:customStyle="1" w:styleId="Heading4Char">
    <w:name w:val="Heading 4 Char"/>
    <w:link w:val="Heading4"/>
    <w:rsid w:val="00CC7601"/>
    <w:rPr>
      <w:rFonts w:ascii="Arial" w:hAnsi="Arial"/>
      <w:sz w:val="24"/>
      <w:lang w:eastAsia="ja-JP"/>
    </w:rPr>
  </w:style>
  <w:style w:type="character" w:customStyle="1" w:styleId="Heading5Char">
    <w:name w:val="Heading 5 Char"/>
    <w:link w:val="Heading5"/>
    <w:rsid w:val="00CC7601"/>
    <w:rPr>
      <w:rFonts w:ascii="Arial" w:hAnsi="Arial"/>
      <w:sz w:val="22"/>
      <w:lang w:eastAsia="ja-JP"/>
    </w:rPr>
  </w:style>
  <w:style w:type="paragraph" w:customStyle="1" w:styleId="H6">
    <w:name w:val="H6"/>
    <w:basedOn w:val="Heading5"/>
    <w:next w:val="Normal"/>
    <w:rsid w:val="00CC7601"/>
    <w:pPr>
      <w:numPr>
        <w:ilvl w:val="0"/>
        <w:numId w:val="0"/>
      </w:numPr>
      <w:ind w:left="1985" w:hanging="1985"/>
      <w:outlineLvl w:val="9"/>
    </w:pPr>
    <w:rPr>
      <w:sz w:val="20"/>
    </w:rPr>
  </w:style>
  <w:style w:type="character" w:customStyle="1" w:styleId="Heading6Char">
    <w:name w:val="Heading 6 Char"/>
    <w:link w:val="Heading6"/>
    <w:rsid w:val="00CC7601"/>
    <w:rPr>
      <w:rFonts w:ascii="Arial" w:hAnsi="Arial"/>
      <w:lang w:eastAsia="ja-JP"/>
    </w:rPr>
  </w:style>
  <w:style w:type="character" w:customStyle="1" w:styleId="Heading7Char">
    <w:name w:val="Heading 7 Char"/>
    <w:link w:val="Heading7"/>
    <w:rsid w:val="00CC7601"/>
    <w:rPr>
      <w:rFonts w:ascii="Arial" w:hAnsi="Arial"/>
      <w:lang w:eastAsia="ja-JP"/>
    </w:rPr>
  </w:style>
  <w:style w:type="character" w:customStyle="1" w:styleId="Heading8Char">
    <w:name w:val="Heading 8 Char"/>
    <w:link w:val="Heading8"/>
    <w:rsid w:val="00CC7601"/>
    <w:rPr>
      <w:rFonts w:ascii="Arial" w:hAnsi="Arial"/>
      <w:sz w:val="36"/>
      <w:lang w:eastAsia="ja-JP"/>
    </w:rPr>
  </w:style>
  <w:style w:type="character" w:customStyle="1" w:styleId="Heading9Char">
    <w:name w:val="Heading 9 Char"/>
    <w:link w:val="Heading9"/>
    <w:rsid w:val="00CC7601"/>
    <w:rPr>
      <w:rFonts w:ascii="Arial" w:hAnsi="Arial"/>
      <w:sz w:val="36"/>
      <w:lang w:eastAsia="ja-JP"/>
    </w:rPr>
  </w:style>
  <w:style w:type="character" w:styleId="HTMLCode">
    <w:name w:val="HTML Code"/>
    <w:uiPriority w:val="99"/>
    <w:unhideWhenUsed/>
    <w:rsid w:val="00CC7601"/>
    <w:rPr>
      <w:rFonts w:ascii="Courier New" w:eastAsia="Times New Roman" w:hAnsi="Courier New" w:cs="Courier New"/>
      <w:sz w:val="20"/>
      <w:szCs w:val="20"/>
    </w:rPr>
  </w:style>
  <w:style w:type="paragraph" w:styleId="IndexHeading">
    <w:name w:val="index heading"/>
    <w:basedOn w:val="Normal"/>
    <w:next w:val="Normal"/>
    <w:rsid w:val="00CC7601"/>
    <w:pPr>
      <w:pBdr>
        <w:top w:val="single" w:sz="12" w:space="0" w:color="auto"/>
      </w:pBdr>
      <w:spacing w:before="360" w:after="240"/>
    </w:pPr>
    <w:rPr>
      <w:b/>
      <w:i/>
      <w:sz w:val="26"/>
      <w:lang w:eastAsia="en-GB"/>
    </w:rPr>
  </w:style>
  <w:style w:type="paragraph" w:customStyle="1" w:styleId="LD">
    <w:name w:val="LD"/>
    <w:rsid w:val="00CC760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CC7601"/>
    <w:pPr>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CC7601"/>
    <w:rPr>
      <w:rFonts w:ascii="Calibri" w:eastAsia="Calibri" w:hAnsi="Calibri" w:cstheme="minorBidi"/>
      <w:sz w:val="24"/>
      <w:szCs w:val="24"/>
      <w:lang w:val="x-none" w:eastAsia="en-US"/>
    </w:rPr>
  </w:style>
  <w:style w:type="paragraph" w:customStyle="1" w:styleId="NF">
    <w:name w:val="NF"/>
    <w:basedOn w:val="NO"/>
    <w:rsid w:val="00CC7601"/>
    <w:pPr>
      <w:keepNext/>
    </w:pPr>
    <w:rPr>
      <w:sz w:val="18"/>
    </w:rPr>
  </w:style>
  <w:style w:type="paragraph" w:customStyle="1" w:styleId="NW">
    <w:name w:val="NW"/>
    <w:basedOn w:val="NO"/>
    <w:rsid w:val="00CC7601"/>
  </w:style>
  <w:style w:type="paragraph" w:customStyle="1" w:styleId="PL">
    <w:name w:val="PL"/>
    <w:link w:val="PLChar"/>
    <w:qFormat/>
    <w:rsid w:val="00CC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C7601"/>
    <w:rPr>
      <w:rFonts w:ascii="Courier New" w:eastAsia="Batang" w:hAnsi="Courier New"/>
      <w:noProof/>
      <w:sz w:val="16"/>
      <w:shd w:val="clear" w:color="auto" w:fill="E6E6E6"/>
      <w:lang w:eastAsia="sv-SE"/>
    </w:rPr>
  </w:style>
  <w:style w:type="paragraph" w:styleId="PlainText">
    <w:name w:val="Plain Text"/>
    <w:basedOn w:val="Normal"/>
    <w:link w:val="PlainTextChar"/>
    <w:rsid w:val="00CC7601"/>
    <w:rPr>
      <w:rFonts w:ascii="Courier New" w:hAnsi="Courier New"/>
      <w:lang w:val="nb-NO"/>
    </w:rPr>
  </w:style>
  <w:style w:type="character" w:customStyle="1" w:styleId="PlainTextChar">
    <w:name w:val="Plain Text Char"/>
    <w:link w:val="PlainText"/>
    <w:rsid w:val="00CC7601"/>
    <w:rPr>
      <w:rFonts w:ascii="Courier New" w:hAnsi="Courier New"/>
      <w:lang w:val="nb-NO" w:eastAsia="zh-CN"/>
    </w:rPr>
  </w:style>
  <w:style w:type="character" w:styleId="Strong">
    <w:name w:val="Strong"/>
    <w:uiPriority w:val="22"/>
    <w:qFormat/>
    <w:rsid w:val="00CC7601"/>
    <w:rPr>
      <w:b/>
      <w:bCs/>
    </w:rPr>
  </w:style>
  <w:style w:type="table" w:styleId="TableGrid">
    <w:name w:val="Table Grid"/>
    <w:basedOn w:val="TableNormal"/>
    <w:uiPriority w:val="39"/>
    <w:rsid w:val="00CC760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C7601"/>
    <w:rPr>
      <w:rFonts w:asciiTheme="minorHAnsi" w:eastAsiaTheme="minorHAnsi" w:hAnsiTheme="minorHAnsi" w:cstheme="minorBidi"/>
      <w:sz w:val="18"/>
      <w:szCs w:val="24"/>
      <w:lang w:val="x-none" w:eastAsia="x-none"/>
    </w:rPr>
  </w:style>
  <w:style w:type="character" w:customStyle="1" w:styleId="TAHCar">
    <w:name w:val="TAH Car"/>
    <w:link w:val="TAH"/>
    <w:locked/>
    <w:rsid w:val="00CC7601"/>
    <w:rPr>
      <w:rFonts w:ascii="Arial" w:hAnsi="Arial"/>
      <w:b/>
      <w:sz w:val="18"/>
      <w:lang w:val="x-none" w:eastAsia="x-none"/>
    </w:rPr>
  </w:style>
  <w:style w:type="character" w:customStyle="1" w:styleId="THChar">
    <w:name w:val="TH Char"/>
    <w:link w:val="TH"/>
    <w:rsid w:val="00CC7601"/>
    <w:rPr>
      <w:rFonts w:ascii="Arial" w:hAnsi="Arial"/>
      <w:b/>
      <w:lang w:val="x-none" w:eastAsia="x-none"/>
    </w:rPr>
  </w:style>
  <w:style w:type="paragraph" w:customStyle="1" w:styleId="TAJ">
    <w:name w:val="TAJ"/>
    <w:basedOn w:val="TH"/>
    <w:rsid w:val="00CC7601"/>
  </w:style>
  <w:style w:type="paragraph" w:customStyle="1" w:styleId="TALCharChar">
    <w:name w:val="TAL Char Char"/>
    <w:basedOn w:val="Normal"/>
    <w:link w:val="TALCharCharChar"/>
    <w:rsid w:val="00CC7601"/>
    <w:pPr>
      <w:keepNext/>
      <w:keepLines/>
    </w:pPr>
    <w:rPr>
      <w:rFonts w:eastAsia="Malgun Gothic"/>
      <w:sz w:val="18"/>
      <w:lang w:val="x-none" w:eastAsia="x-none"/>
    </w:rPr>
  </w:style>
  <w:style w:type="character" w:customStyle="1" w:styleId="TALCharCharChar">
    <w:name w:val="TAL Char Char Char"/>
    <w:link w:val="TALCharChar"/>
    <w:rsid w:val="00CC7601"/>
    <w:rPr>
      <w:rFonts w:asciiTheme="minorHAnsi" w:eastAsia="Malgun Gothic" w:hAnsiTheme="minorHAnsi" w:cstheme="minorBidi"/>
      <w:sz w:val="18"/>
      <w:szCs w:val="24"/>
      <w:lang w:val="x-none" w:eastAsia="x-none"/>
    </w:rPr>
  </w:style>
  <w:style w:type="character" w:customStyle="1" w:styleId="TFChar">
    <w:name w:val="TF Char"/>
    <w:link w:val="TF"/>
    <w:rsid w:val="00CC7601"/>
    <w:rPr>
      <w:rFonts w:ascii="Arial" w:hAnsi="Arial"/>
      <w:b/>
      <w:lang w:val="x-none" w:eastAsia="x-none"/>
    </w:rPr>
  </w:style>
  <w:style w:type="paragraph" w:styleId="ListContinue">
    <w:name w:val="List Continue"/>
    <w:basedOn w:val="Normal"/>
    <w:rsid w:val="00CC7601"/>
    <w:pPr>
      <w:ind w:left="283"/>
      <w:contextualSpacing/>
    </w:pPr>
  </w:style>
  <w:style w:type="paragraph" w:styleId="ListContinue2">
    <w:name w:val="List Continue 2"/>
    <w:basedOn w:val="Normal"/>
    <w:rsid w:val="00CC7601"/>
    <w:pPr>
      <w:ind w:left="566"/>
      <w:contextualSpacing/>
    </w:pPr>
  </w:style>
  <w:style w:type="paragraph" w:styleId="ListNumber3">
    <w:name w:val="List Number 3"/>
    <w:basedOn w:val="ListNumber2"/>
    <w:rsid w:val="00CC7601"/>
    <w:pPr>
      <w:numPr>
        <w:numId w:val="10"/>
      </w:numPr>
      <w:contextualSpacing/>
    </w:pPr>
  </w:style>
  <w:style w:type="character" w:styleId="UnresolvedMention">
    <w:name w:val="Unresolved Mention"/>
    <w:basedOn w:val="DefaultParagraphFont"/>
    <w:uiPriority w:val="99"/>
    <w:unhideWhenUsed/>
    <w:rsid w:val="00827786"/>
    <w:rPr>
      <w:color w:val="605E5C"/>
      <w:shd w:val="clear" w:color="auto" w:fill="E1DFDD"/>
    </w:rPr>
  </w:style>
  <w:style w:type="character" w:styleId="Mention">
    <w:name w:val="Mention"/>
    <w:basedOn w:val="DefaultParagraphFont"/>
    <w:uiPriority w:val="99"/>
    <w:unhideWhenUsed/>
    <w:rsid w:val="00827786"/>
    <w:rPr>
      <w:color w:val="2B579A"/>
      <w:shd w:val="clear" w:color="auto" w:fill="E1DFDD"/>
    </w:rPr>
  </w:style>
  <w:style w:type="paragraph" w:styleId="NoSpacing">
    <w:name w:val="No Spacing"/>
    <w:uiPriority w:val="1"/>
    <w:qFormat/>
    <w:rsid w:val="003D479C"/>
    <w:pPr>
      <w:ind w:left="720" w:hanging="360"/>
    </w:pPr>
    <w:rPr>
      <w:rFonts w:ascii="Calibri" w:eastAsia="SimSun" w:hAnsi="Calibri"/>
      <w:sz w:val="22"/>
      <w:szCs w:val="22"/>
      <w:lang w:val="en-US" w:eastAsia="zh-CN"/>
    </w:rPr>
  </w:style>
  <w:style w:type="paragraph" w:styleId="Revision">
    <w:name w:val="Revision"/>
    <w:hidden/>
    <w:uiPriority w:val="99"/>
    <w:semiHidden/>
    <w:rsid w:val="003D479C"/>
    <w:rPr>
      <w:rFonts w:asciiTheme="minorHAnsi" w:eastAsiaTheme="minorHAnsi" w:hAnsiTheme="minorHAnsi" w:cstheme="minorBidi"/>
      <w:sz w:val="24"/>
      <w:szCs w:val="24"/>
      <w:lang w:val="en-US" w:eastAsia="en-US"/>
    </w:rPr>
  </w:style>
  <w:style w:type="character" w:customStyle="1" w:styleId="apple-converted-space">
    <w:name w:val="apple-converted-space"/>
    <w:basedOn w:val="DefaultParagraphFont"/>
    <w:rsid w:val="00957F77"/>
  </w:style>
  <w:style w:type="character" w:customStyle="1" w:styleId="ReferenceChar">
    <w:name w:val="Reference Char"/>
    <w:link w:val="Reference"/>
    <w:rsid w:val="00A469B4"/>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37774">
      <w:bodyDiv w:val="1"/>
      <w:marLeft w:val="0"/>
      <w:marRight w:val="0"/>
      <w:marTop w:val="0"/>
      <w:marBottom w:val="0"/>
      <w:divBdr>
        <w:top w:val="none" w:sz="0" w:space="0" w:color="auto"/>
        <w:left w:val="none" w:sz="0" w:space="0" w:color="auto"/>
        <w:bottom w:val="none" w:sz="0" w:space="0" w:color="auto"/>
        <w:right w:val="none" w:sz="0" w:space="0" w:color="auto"/>
      </w:divBdr>
    </w:div>
    <w:div w:id="689375357">
      <w:bodyDiv w:val="1"/>
      <w:marLeft w:val="0"/>
      <w:marRight w:val="0"/>
      <w:marTop w:val="0"/>
      <w:marBottom w:val="0"/>
      <w:divBdr>
        <w:top w:val="none" w:sz="0" w:space="0" w:color="auto"/>
        <w:left w:val="none" w:sz="0" w:space="0" w:color="auto"/>
        <w:bottom w:val="none" w:sz="0" w:space="0" w:color="auto"/>
        <w:right w:val="none" w:sz="0" w:space="0" w:color="auto"/>
      </w:divBdr>
      <w:divsChild>
        <w:div w:id="2004042207">
          <w:marLeft w:val="0"/>
          <w:marRight w:val="0"/>
          <w:marTop w:val="0"/>
          <w:marBottom w:val="0"/>
          <w:divBdr>
            <w:top w:val="none" w:sz="0" w:space="0" w:color="auto"/>
            <w:left w:val="none" w:sz="0" w:space="0" w:color="auto"/>
            <w:bottom w:val="none" w:sz="0" w:space="0" w:color="auto"/>
            <w:right w:val="none" w:sz="0" w:space="0" w:color="auto"/>
          </w:divBdr>
        </w:div>
      </w:divsChild>
    </w:div>
    <w:div w:id="765619092">
      <w:bodyDiv w:val="1"/>
      <w:marLeft w:val="0"/>
      <w:marRight w:val="0"/>
      <w:marTop w:val="0"/>
      <w:marBottom w:val="0"/>
      <w:divBdr>
        <w:top w:val="none" w:sz="0" w:space="0" w:color="auto"/>
        <w:left w:val="none" w:sz="0" w:space="0" w:color="auto"/>
        <w:bottom w:val="none" w:sz="0" w:space="0" w:color="auto"/>
        <w:right w:val="none" w:sz="0" w:space="0" w:color="auto"/>
      </w:divBdr>
      <w:divsChild>
        <w:div w:id="2030325777">
          <w:marLeft w:val="0"/>
          <w:marRight w:val="0"/>
          <w:marTop w:val="0"/>
          <w:marBottom w:val="0"/>
          <w:divBdr>
            <w:top w:val="none" w:sz="0" w:space="0" w:color="auto"/>
            <w:left w:val="none" w:sz="0" w:space="0" w:color="auto"/>
            <w:bottom w:val="none" w:sz="0" w:space="0" w:color="auto"/>
            <w:right w:val="none" w:sz="0" w:space="0" w:color="auto"/>
          </w:divBdr>
        </w:div>
      </w:divsChild>
    </w:div>
    <w:div w:id="773327395">
      <w:bodyDiv w:val="1"/>
      <w:marLeft w:val="0"/>
      <w:marRight w:val="0"/>
      <w:marTop w:val="0"/>
      <w:marBottom w:val="0"/>
      <w:divBdr>
        <w:top w:val="none" w:sz="0" w:space="0" w:color="auto"/>
        <w:left w:val="none" w:sz="0" w:space="0" w:color="auto"/>
        <w:bottom w:val="none" w:sz="0" w:space="0" w:color="auto"/>
        <w:right w:val="none" w:sz="0" w:space="0" w:color="auto"/>
      </w:divBdr>
    </w:div>
    <w:div w:id="850417129">
      <w:bodyDiv w:val="1"/>
      <w:marLeft w:val="0"/>
      <w:marRight w:val="0"/>
      <w:marTop w:val="0"/>
      <w:marBottom w:val="0"/>
      <w:divBdr>
        <w:top w:val="none" w:sz="0" w:space="0" w:color="auto"/>
        <w:left w:val="none" w:sz="0" w:space="0" w:color="auto"/>
        <w:bottom w:val="none" w:sz="0" w:space="0" w:color="auto"/>
        <w:right w:val="none" w:sz="0" w:space="0" w:color="auto"/>
      </w:divBdr>
      <w:divsChild>
        <w:div w:id="1490974710">
          <w:marLeft w:val="0"/>
          <w:marRight w:val="0"/>
          <w:marTop w:val="0"/>
          <w:marBottom w:val="0"/>
          <w:divBdr>
            <w:top w:val="none" w:sz="0" w:space="0" w:color="auto"/>
            <w:left w:val="none" w:sz="0" w:space="0" w:color="auto"/>
            <w:bottom w:val="none" w:sz="0" w:space="0" w:color="auto"/>
            <w:right w:val="none" w:sz="0" w:space="0" w:color="auto"/>
          </w:divBdr>
        </w:div>
      </w:divsChild>
    </w:div>
    <w:div w:id="881556600">
      <w:bodyDiv w:val="1"/>
      <w:marLeft w:val="0"/>
      <w:marRight w:val="0"/>
      <w:marTop w:val="0"/>
      <w:marBottom w:val="0"/>
      <w:divBdr>
        <w:top w:val="none" w:sz="0" w:space="0" w:color="auto"/>
        <w:left w:val="none" w:sz="0" w:space="0" w:color="auto"/>
        <w:bottom w:val="none" w:sz="0" w:space="0" w:color="auto"/>
        <w:right w:val="none" w:sz="0" w:space="0" w:color="auto"/>
      </w:divBdr>
      <w:divsChild>
        <w:div w:id="1712070963">
          <w:marLeft w:val="0"/>
          <w:marRight w:val="0"/>
          <w:marTop w:val="0"/>
          <w:marBottom w:val="0"/>
          <w:divBdr>
            <w:top w:val="none" w:sz="0" w:space="0" w:color="auto"/>
            <w:left w:val="none" w:sz="0" w:space="0" w:color="auto"/>
            <w:bottom w:val="none" w:sz="0" w:space="0" w:color="auto"/>
            <w:right w:val="none" w:sz="0" w:space="0" w:color="auto"/>
          </w:divBdr>
        </w:div>
      </w:divsChild>
    </w:div>
    <w:div w:id="992684704">
      <w:bodyDiv w:val="1"/>
      <w:marLeft w:val="0"/>
      <w:marRight w:val="0"/>
      <w:marTop w:val="0"/>
      <w:marBottom w:val="0"/>
      <w:divBdr>
        <w:top w:val="none" w:sz="0" w:space="0" w:color="auto"/>
        <w:left w:val="none" w:sz="0" w:space="0" w:color="auto"/>
        <w:bottom w:val="none" w:sz="0" w:space="0" w:color="auto"/>
        <w:right w:val="none" w:sz="0" w:space="0" w:color="auto"/>
      </w:divBdr>
      <w:divsChild>
        <w:div w:id="638999673">
          <w:marLeft w:val="0"/>
          <w:marRight w:val="0"/>
          <w:marTop w:val="0"/>
          <w:marBottom w:val="0"/>
          <w:divBdr>
            <w:top w:val="none" w:sz="0" w:space="0" w:color="auto"/>
            <w:left w:val="none" w:sz="0" w:space="0" w:color="auto"/>
            <w:bottom w:val="none" w:sz="0" w:space="0" w:color="auto"/>
            <w:right w:val="none" w:sz="0" w:space="0" w:color="auto"/>
          </w:divBdr>
        </w:div>
      </w:divsChild>
    </w:div>
    <w:div w:id="1053190222">
      <w:bodyDiv w:val="1"/>
      <w:marLeft w:val="0"/>
      <w:marRight w:val="0"/>
      <w:marTop w:val="0"/>
      <w:marBottom w:val="0"/>
      <w:divBdr>
        <w:top w:val="none" w:sz="0" w:space="0" w:color="auto"/>
        <w:left w:val="none" w:sz="0" w:space="0" w:color="auto"/>
        <w:bottom w:val="none" w:sz="0" w:space="0" w:color="auto"/>
        <w:right w:val="none" w:sz="0" w:space="0" w:color="auto"/>
      </w:divBdr>
      <w:divsChild>
        <w:div w:id="556012884">
          <w:marLeft w:val="0"/>
          <w:marRight w:val="0"/>
          <w:marTop w:val="0"/>
          <w:marBottom w:val="0"/>
          <w:divBdr>
            <w:top w:val="none" w:sz="0" w:space="0" w:color="auto"/>
            <w:left w:val="none" w:sz="0" w:space="0" w:color="auto"/>
            <w:bottom w:val="none" w:sz="0" w:space="0" w:color="auto"/>
            <w:right w:val="none" w:sz="0" w:space="0" w:color="auto"/>
          </w:divBdr>
        </w:div>
      </w:divsChild>
    </w:div>
    <w:div w:id="1064379407">
      <w:bodyDiv w:val="1"/>
      <w:marLeft w:val="0"/>
      <w:marRight w:val="0"/>
      <w:marTop w:val="0"/>
      <w:marBottom w:val="0"/>
      <w:divBdr>
        <w:top w:val="none" w:sz="0" w:space="0" w:color="auto"/>
        <w:left w:val="none" w:sz="0" w:space="0" w:color="auto"/>
        <w:bottom w:val="none" w:sz="0" w:space="0" w:color="auto"/>
        <w:right w:val="none" w:sz="0" w:space="0" w:color="auto"/>
      </w:divBdr>
      <w:divsChild>
        <w:div w:id="2053462337">
          <w:marLeft w:val="0"/>
          <w:marRight w:val="0"/>
          <w:marTop w:val="0"/>
          <w:marBottom w:val="0"/>
          <w:divBdr>
            <w:top w:val="none" w:sz="0" w:space="0" w:color="auto"/>
            <w:left w:val="none" w:sz="0" w:space="0" w:color="auto"/>
            <w:bottom w:val="none" w:sz="0" w:space="0" w:color="auto"/>
            <w:right w:val="none" w:sz="0" w:space="0" w:color="auto"/>
          </w:divBdr>
        </w:div>
      </w:divsChild>
    </w:div>
    <w:div w:id="1100219768">
      <w:bodyDiv w:val="1"/>
      <w:marLeft w:val="0"/>
      <w:marRight w:val="0"/>
      <w:marTop w:val="0"/>
      <w:marBottom w:val="0"/>
      <w:divBdr>
        <w:top w:val="none" w:sz="0" w:space="0" w:color="auto"/>
        <w:left w:val="none" w:sz="0" w:space="0" w:color="auto"/>
        <w:bottom w:val="none" w:sz="0" w:space="0" w:color="auto"/>
        <w:right w:val="none" w:sz="0" w:space="0" w:color="auto"/>
      </w:divBdr>
      <w:divsChild>
        <w:div w:id="363945772">
          <w:marLeft w:val="0"/>
          <w:marRight w:val="0"/>
          <w:marTop w:val="0"/>
          <w:marBottom w:val="0"/>
          <w:divBdr>
            <w:top w:val="none" w:sz="0" w:space="0" w:color="auto"/>
            <w:left w:val="none" w:sz="0" w:space="0" w:color="auto"/>
            <w:bottom w:val="none" w:sz="0" w:space="0" w:color="auto"/>
            <w:right w:val="none" w:sz="0" w:space="0" w:color="auto"/>
          </w:divBdr>
        </w:div>
      </w:divsChild>
    </w:div>
    <w:div w:id="1204630912">
      <w:bodyDiv w:val="1"/>
      <w:marLeft w:val="0"/>
      <w:marRight w:val="0"/>
      <w:marTop w:val="0"/>
      <w:marBottom w:val="0"/>
      <w:divBdr>
        <w:top w:val="none" w:sz="0" w:space="0" w:color="auto"/>
        <w:left w:val="none" w:sz="0" w:space="0" w:color="auto"/>
        <w:bottom w:val="none" w:sz="0" w:space="0" w:color="auto"/>
        <w:right w:val="none" w:sz="0" w:space="0" w:color="auto"/>
      </w:divBdr>
      <w:divsChild>
        <w:div w:id="1760441917">
          <w:marLeft w:val="0"/>
          <w:marRight w:val="0"/>
          <w:marTop w:val="0"/>
          <w:marBottom w:val="0"/>
          <w:divBdr>
            <w:top w:val="none" w:sz="0" w:space="0" w:color="auto"/>
            <w:left w:val="none" w:sz="0" w:space="0" w:color="auto"/>
            <w:bottom w:val="none" w:sz="0" w:space="0" w:color="auto"/>
            <w:right w:val="none" w:sz="0" w:space="0" w:color="auto"/>
          </w:divBdr>
        </w:div>
      </w:divsChild>
    </w:div>
    <w:div w:id="1224683020">
      <w:bodyDiv w:val="1"/>
      <w:marLeft w:val="0"/>
      <w:marRight w:val="0"/>
      <w:marTop w:val="0"/>
      <w:marBottom w:val="0"/>
      <w:divBdr>
        <w:top w:val="none" w:sz="0" w:space="0" w:color="auto"/>
        <w:left w:val="none" w:sz="0" w:space="0" w:color="auto"/>
        <w:bottom w:val="none" w:sz="0" w:space="0" w:color="auto"/>
        <w:right w:val="none" w:sz="0" w:space="0" w:color="auto"/>
      </w:divBdr>
    </w:div>
    <w:div w:id="1289241573">
      <w:bodyDiv w:val="1"/>
      <w:marLeft w:val="0"/>
      <w:marRight w:val="0"/>
      <w:marTop w:val="0"/>
      <w:marBottom w:val="0"/>
      <w:divBdr>
        <w:top w:val="none" w:sz="0" w:space="0" w:color="auto"/>
        <w:left w:val="none" w:sz="0" w:space="0" w:color="auto"/>
        <w:bottom w:val="none" w:sz="0" w:space="0" w:color="auto"/>
        <w:right w:val="none" w:sz="0" w:space="0" w:color="auto"/>
      </w:divBdr>
      <w:divsChild>
        <w:div w:id="831412072">
          <w:marLeft w:val="0"/>
          <w:marRight w:val="0"/>
          <w:marTop w:val="0"/>
          <w:marBottom w:val="0"/>
          <w:divBdr>
            <w:top w:val="none" w:sz="0" w:space="0" w:color="auto"/>
            <w:left w:val="none" w:sz="0" w:space="0" w:color="auto"/>
            <w:bottom w:val="none" w:sz="0" w:space="0" w:color="auto"/>
            <w:right w:val="none" w:sz="0" w:space="0" w:color="auto"/>
          </w:divBdr>
        </w:div>
      </w:divsChild>
    </w:div>
    <w:div w:id="1376929500">
      <w:bodyDiv w:val="1"/>
      <w:marLeft w:val="0"/>
      <w:marRight w:val="0"/>
      <w:marTop w:val="0"/>
      <w:marBottom w:val="0"/>
      <w:divBdr>
        <w:top w:val="none" w:sz="0" w:space="0" w:color="auto"/>
        <w:left w:val="none" w:sz="0" w:space="0" w:color="auto"/>
        <w:bottom w:val="none" w:sz="0" w:space="0" w:color="auto"/>
        <w:right w:val="none" w:sz="0" w:space="0" w:color="auto"/>
      </w:divBdr>
      <w:divsChild>
        <w:div w:id="773591710">
          <w:marLeft w:val="0"/>
          <w:marRight w:val="0"/>
          <w:marTop w:val="0"/>
          <w:marBottom w:val="0"/>
          <w:divBdr>
            <w:top w:val="none" w:sz="0" w:space="0" w:color="auto"/>
            <w:left w:val="none" w:sz="0" w:space="0" w:color="auto"/>
            <w:bottom w:val="none" w:sz="0" w:space="0" w:color="auto"/>
            <w:right w:val="none" w:sz="0" w:space="0" w:color="auto"/>
          </w:divBdr>
        </w:div>
      </w:divsChild>
    </w:div>
    <w:div w:id="1657614528">
      <w:bodyDiv w:val="1"/>
      <w:marLeft w:val="0"/>
      <w:marRight w:val="0"/>
      <w:marTop w:val="0"/>
      <w:marBottom w:val="0"/>
      <w:divBdr>
        <w:top w:val="none" w:sz="0" w:space="0" w:color="auto"/>
        <w:left w:val="none" w:sz="0" w:space="0" w:color="auto"/>
        <w:bottom w:val="none" w:sz="0" w:space="0" w:color="auto"/>
        <w:right w:val="none" w:sz="0" w:space="0" w:color="auto"/>
      </w:divBdr>
      <w:divsChild>
        <w:div w:id="107741864">
          <w:marLeft w:val="0"/>
          <w:marRight w:val="0"/>
          <w:marTop w:val="0"/>
          <w:marBottom w:val="0"/>
          <w:divBdr>
            <w:top w:val="none" w:sz="0" w:space="0" w:color="auto"/>
            <w:left w:val="none" w:sz="0" w:space="0" w:color="auto"/>
            <w:bottom w:val="none" w:sz="0" w:space="0" w:color="auto"/>
            <w:right w:val="none" w:sz="0" w:space="0" w:color="auto"/>
          </w:divBdr>
        </w:div>
      </w:divsChild>
    </w:div>
    <w:div w:id="1925993628">
      <w:bodyDiv w:val="1"/>
      <w:marLeft w:val="0"/>
      <w:marRight w:val="0"/>
      <w:marTop w:val="0"/>
      <w:marBottom w:val="0"/>
      <w:divBdr>
        <w:top w:val="none" w:sz="0" w:space="0" w:color="auto"/>
        <w:left w:val="none" w:sz="0" w:space="0" w:color="auto"/>
        <w:bottom w:val="none" w:sz="0" w:space="0" w:color="auto"/>
        <w:right w:val="none" w:sz="0" w:space="0" w:color="auto"/>
      </w:divBdr>
      <w:divsChild>
        <w:div w:id="1425420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FD255-DB66-4704-97A7-1E2B6515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3721</Words>
  <Characters>20233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23907</CharactersWithSpaces>
  <SharedDoc>false</SharedDoc>
  <HLinks>
    <vt:vector size="24" baseType="variant">
      <vt:variant>
        <vt:i4>1310781</vt:i4>
      </vt:variant>
      <vt:variant>
        <vt:i4>38</vt:i4>
      </vt:variant>
      <vt:variant>
        <vt:i4>0</vt:i4>
      </vt:variant>
      <vt:variant>
        <vt:i4>5</vt:i4>
      </vt:variant>
      <vt:variant>
        <vt:lpwstr/>
      </vt:variant>
      <vt:variant>
        <vt:lpwstr>_Toc509923397</vt:lpwstr>
      </vt:variant>
      <vt:variant>
        <vt:i4>1310781</vt:i4>
      </vt:variant>
      <vt:variant>
        <vt:i4>32</vt:i4>
      </vt:variant>
      <vt:variant>
        <vt:i4>0</vt:i4>
      </vt:variant>
      <vt:variant>
        <vt:i4>5</vt:i4>
      </vt:variant>
      <vt:variant>
        <vt:lpwstr/>
      </vt:variant>
      <vt:variant>
        <vt:lpwstr>_Toc509923396</vt:lpwstr>
      </vt:variant>
      <vt:variant>
        <vt:i4>917603</vt:i4>
      </vt:variant>
      <vt:variant>
        <vt:i4>3</vt:i4>
      </vt:variant>
      <vt:variant>
        <vt:i4>0</vt:i4>
      </vt:variant>
      <vt:variant>
        <vt:i4>5</vt:i4>
      </vt:variant>
      <vt:variant>
        <vt:lpwstr>mailto:magnus.astrom@ericsson.com</vt:lpwstr>
      </vt:variant>
      <vt:variant>
        <vt:lpwstr/>
      </vt:variant>
      <vt:variant>
        <vt:i4>5111858</vt:i4>
      </vt:variant>
      <vt:variant>
        <vt:i4>0</vt:i4>
      </vt:variant>
      <vt:variant>
        <vt:i4>0</vt:i4>
      </vt:variant>
      <vt:variant>
        <vt:i4>5</vt:i4>
      </vt:variant>
      <vt:variant>
        <vt:lpwstr>mailto:boris.dortschy@ericsson.com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2020-10-23T20:02:00Z</dcterms:created>
  <dcterms:modified xsi:type="dcterms:W3CDTF">2020-10-23T20:13:00Z</dcterms:modified>
  <cp:category/>
</cp:coreProperties>
</file>